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bookmarkStart w:id="0" w:name="ditulogo"/>
            <w:bookmarkEnd w:id="0"/>
            <w:r>
              <w:rPr>
                <w:noProof/>
                <w:lang w:val="en-US"/>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3E29E7" w:rsidP="00FC221C">
            <w:pPr>
              <w:spacing w:before="0" w:line="240" w:lineRule="atLeast"/>
              <w:rPr>
                <w:rFonts w:ascii="Verdana" w:hAnsi="Verdana"/>
                <w:sz w:val="20"/>
              </w:rPr>
            </w:pPr>
            <w:r w:rsidRPr="005627AB">
              <w:t>CPG(1</w:t>
            </w:r>
            <w:r>
              <w:t>9</w:t>
            </w:r>
            <w:r w:rsidRPr="005627AB">
              <w:t>)</w:t>
            </w:r>
            <w:r w:rsidR="00FC221C">
              <w:t>101</w:t>
            </w:r>
            <w:r>
              <w:t xml:space="preserve"> </w:t>
            </w:r>
            <w:r w:rsidR="00762EDC" w:rsidRPr="002761EE">
              <w:t>ANNEX V</w:t>
            </w:r>
            <w:r w:rsidR="009F24FA">
              <w:t>III</w:t>
            </w:r>
            <w:bookmarkStart w:id="2" w:name="_GoBack"/>
            <w:bookmarkEnd w:id="2"/>
            <w:r w:rsidR="00762EDC">
              <w:t>-</w:t>
            </w:r>
            <w:r w:rsidR="00762EDC" w:rsidRPr="002761EE">
              <w:t>03</w:t>
            </w: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1"/>
            <w:r w:rsidRPr="00841216">
              <w:rPr>
                <w:rFonts w:ascii="Verdana" w:hAnsi="Verdana"/>
                <w:sz w:val="20"/>
                <w:szCs w:val="20"/>
              </w:rPr>
              <w:t>PLENARY MEETING</w:t>
            </w:r>
          </w:p>
        </w:tc>
        <w:tc>
          <w:tcPr>
            <w:tcW w:w="3120" w:type="dxa"/>
          </w:tcPr>
          <w:p w:rsidR="00A066F1" w:rsidRPr="00841216" w:rsidRDefault="00E55816" w:rsidP="00F00E0F">
            <w:pPr>
              <w:tabs>
                <w:tab w:val="left" w:pos="851"/>
              </w:tabs>
              <w:spacing w:before="0" w:line="240" w:lineRule="atLeast"/>
              <w:rPr>
                <w:rFonts w:ascii="Verdana" w:hAnsi="Verdana"/>
                <w:sz w:val="20"/>
              </w:rPr>
            </w:pPr>
            <w:r>
              <w:rPr>
                <w:rFonts w:ascii="Verdana" w:hAnsi="Verdana"/>
                <w:b/>
                <w:sz w:val="20"/>
              </w:rPr>
              <w:t>Addendum 3 to</w:t>
            </w:r>
            <w:r>
              <w:rPr>
                <w:rFonts w:ascii="Verdana" w:hAnsi="Verdana"/>
                <w:b/>
                <w:sz w:val="20"/>
              </w:rPr>
              <w:br/>
              <w:t xml:space="preserve">Document </w:t>
            </w:r>
            <w:r w:rsidR="00F00E0F">
              <w:rPr>
                <w:rFonts w:ascii="Verdana" w:hAnsi="Verdana"/>
                <w:b/>
                <w:sz w:val="20"/>
              </w:rPr>
              <w:t>XXXX</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rsidR="00A066F1" w:rsidRPr="00841216" w:rsidRDefault="00F00E0F" w:rsidP="00A066F1">
            <w:pPr>
              <w:tabs>
                <w:tab w:val="left" w:pos="993"/>
              </w:tabs>
              <w:spacing w:before="0"/>
              <w:rPr>
                <w:rFonts w:ascii="Verdana" w:hAnsi="Verdana"/>
                <w:sz w:val="20"/>
              </w:rPr>
            </w:pPr>
            <w:r>
              <w:rPr>
                <w:rFonts w:ascii="Verdana" w:hAnsi="Verdana"/>
                <w:b/>
                <w:sz w:val="20"/>
              </w:rPr>
              <w:t>Date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762EDC">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762EDC">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762EDC">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762EDC">
        <w:trPr>
          <w:cantSplit/>
          <w:trHeight w:val="23"/>
        </w:trPr>
        <w:tc>
          <w:tcPr>
            <w:tcW w:w="10031" w:type="dxa"/>
            <w:gridSpan w:val="2"/>
            <w:shd w:val="clear" w:color="auto" w:fill="auto"/>
          </w:tcPr>
          <w:p w:rsidR="00E55816" w:rsidRDefault="00E55816" w:rsidP="00E55816">
            <w:pPr>
              <w:pStyle w:val="Title2"/>
            </w:pPr>
          </w:p>
        </w:tc>
      </w:tr>
      <w:tr w:rsidR="00A538A6" w:rsidRPr="00C324A8" w:rsidTr="00762EDC">
        <w:trPr>
          <w:cantSplit/>
          <w:trHeight w:val="23"/>
        </w:trPr>
        <w:tc>
          <w:tcPr>
            <w:tcW w:w="10031" w:type="dxa"/>
            <w:gridSpan w:val="2"/>
            <w:shd w:val="clear" w:color="auto" w:fill="auto"/>
          </w:tcPr>
          <w:p w:rsidR="00A538A6" w:rsidRDefault="004B13CB" w:rsidP="004B13CB">
            <w:pPr>
              <w:pStyle w:val="Agendaitem"/>
            </w:pPr>
            <w:r>
              <w:t>Agenda item 1.3</w:t>
            </w:r>
          </w:p>
        </w:tc>
      </w:tr>
    </w:tbl>
    <w:bookmarkEnd w:id="7"/>
    <w:bookmarkEnd w:id="8"/>
    <w:p w:rsidR="00762EDC" w:rsidRPr="00EC5386" w:rsidRDefault="00762EDC" w:rsidP="00762EDC">
      <w:pPr>
        <w:overflowPunct/>
        <w:autoSpaceDE/>
        <w:autoSpaceDN/>
        <w:adjustRightInd/>
        <w:textAlignment w:val="auto"/>
        <w:rPr>
          <w:lang w:val="en-US"/>
        </w:rPr>
      </w:pPr>
      <w:r w:rsidRPr="00656311">
        <w:rPr>
          <w:lang w:val="en-US"/>
        </w:rPr>
        <w:t>1.3</w:t>
      </w:r>
      <w:r w:rsidRPr="00656311">
        <w:rPr>
          <w:lang w:val="en-US"/>
        </w:rPr>
        <w:tab/>
        <w:t>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w:t>
      </w:r>
      <w:r>
        <w:rPr>
          <w:lang w:val="en-US"/>
        </w:rPr>
        <w:t> </w:t>
      </w:r>
      <w:r w:rsidRPr="00656311">
        <w:rPr>
          <w:b/>
          <w:bCs/>
          <w:lang w:val="en-US"/>
        </w:rPr>
        <w:t>766 (WRC-15)</w:t>
      </w:r>
      <w:r w:rsidRPr="00656311">
        <w:rPr>
          <w:lang w:val="en-US"/>
        </w:rPr>
        <w:t>;</w:t>
      </w:r>
    </w:p>
    <w:p w:rsidR="00241FA2" w:rsidRPr="00F65EF7" w:rsidRDefault="00762EDC" w:rsidP="00762EDC">
      <w:pPr>
        <w:pStyle w:val="Headingb"/>
        <w:rPr>
          <w:lang w:val="en-GB"/>
        </w:rPr>
      </w:pPr>
      <w:r w:rsidRPr="00F65EF7">
        <w:rPr>
          <w:lang w:val="en-GB"/>
        </w:rPr>
        <w:t>Introduction</w:t>
      </w:r>
    </w:p>
    <w:p w:rsidR="00762EDC" w:rsidRPr="00DF30CA" w:rsidRDefault="00762EDC" w:rsidP="00F65EF7">
      <w:r w:rsidRPr="00DF30CA">
        <w:t xml:space="preserve">This </w:t>
      </w:r>
      <w:r w:rsidR="00F65EF7">
        <w:t>a</w:t>
      </w:r>
      <w:r w:rsidRPr="00DF30CA">
        <w:t xml:space="preserve">genda item proposes to consider </w:t>
      </w:r>
      <w:r w:rsidRPr="00DF30CA">
        <w:rPr>
          <w:lang w:val="en-US"/>
        </w:rPr>
        <w:t>possible upgrading of the secondary allocation to the meteorological-satellite service (space-to-Earth) to primary status and a possible primary allocation to the Earth exploration-satellite service (space-to-Earth) in the frequency band 460-470 MHz</w:t>
      </w:r>
      <w:r w:rsidRPr="00DF30CA">
        <w:t>.</w:t>
      </w:r>
    </w:p>
    <w:p w:rsidR="00762EDC" w:rsidRPr="00DF30CA" w:rsidRDefault="00762EDC" w:rsidP="00762EDC">
      <w:pPr>
        <w:rPr>
          <w:lang w:val="en-US"/>
        </w:rPr>
      </w:pPr>
      <w:r w:rsidRPr="00DF30CA">
        <w:rPr>
          <w:lang w:val="en-US"/>
        </w:rPr>
        <w:t>Data Collection Systems (DCS) operate on geostationary and non-geostationary orbits in the meteorological</w:t>
      </w:r>
      <w:r w:rsidRPr="00DF30CA">
        <w:rPr>
          <w:lang w:val="en-US"/>
        </w:rPr>
        <w:noBreakHyphen/>
        <w:t>satellite service (MetSat) and the Earth exploration-satellite service (EESS) (Earth</w:t>
      </w:r>
      <w:r w:rsidRPr="00DF30CA">
        <w:rPr>
          <w:lang w:val="en-US"/>
        </w:rPr>
        <w:noBreakHyphen/>
        <w:t>to-space) systems in the frequency band 401-403 MHz (uplink) and 460-470 MHz (downlink). DCS systems are essential for monitoring and predicting climate change, monitoring ocean, and water resources, weather forecasting and assisting in protecting biodiversity, as well as improving maritime security.</w:t>
      </w:r>
    </w:p>
    <w:p w:rsidR="00762EDC" w:rsidRPr="00DF30CA" w:rsidRDefault="00762EDC">
      <w:pPr>
        <w:rPr>
          <w:lang w:val="en-US"/>
        </w:rPr>
      </w:pPr>
      <w:r w:rsidRPr="00DF30CA">
        <w:rPr>
          <w:lang w:val="en-US"/>
        </w:rPr>
        <w:t xml:space="preserve">Data collection systems in the MetSat service have been operating globally under a secondary allocation and on a primary basis in some countries under No. </w:t>
      </w:r>
      <w:r w:rsidRPr="00DF30CA">
        <w:rPr>
          <w:b/>
          <w:bCs/>
          <w:lang w:val="en-US"/>
        </w:rPr>
        <w:t>5.</w:t>
      </w:r>
      <w:r w:rsidRPr="005211CA">
        <w:rPr>
          <w:b/>
          <w:bCs/>
          <w:lang w:val="en-US"/>
        </w:rPr>
        <w:t>290</w:t>
      </w:r>
      <w:r w:rsidR="00F65EF7" w:rsidRPr="005211CA">
        <w:rPr>
          <w:lang w:val="en-US"/>
        </w:rPr>
        <w:t xml:space="preserve"> of the Radio Regulations (RR)</w:t>
      </w:r>
      <w:r w:rsidRPr="005211CA">
        <w:rPr>
          <w:lang w:val="en-US"/>
        </w:rPr>
        <w:t xml:space="preserve">, but this use is subject to agreement obtained under </w:t>
      </w:r>
      <w:r w:rsidR="00F65EF7" w:rsidRPr="005211CA">
        <w:rPr>
          <w:lang w:val="en-US"/>
        </w:rPr>
        <w:t xml:space="preserve">RR No. </w:t>
      </w:r>
      <w:r w:rsidRPr="005211CA">
        <w:rPr>
          <w:b/>
          <w:bCs/>
          <w:lang w:val="en-US"/>
        </w:rPr>
        <w:t>9.21</w:t>
      </w:r>
      <w:r w:rsidRPr="005211CA">
        <w:rPr>
          <w:lang w:val="en-US"/>
        </w:rPr>
        <w:t xml:space="preserve">. This has led to different limitations and has posed a barrier to implementation of essential DCS components on a global basis. According to </w:t>
      </w:r>
      <w:r w:rsidR="00F65EF7" w:rsidRPr="005211CA">
        <w:rPr>
          <w:lang w:val="en-US"/>
        </w:rPr>
        <w:t>RR</w:t>
      </w:r>
      <w:r w:rsidR="00F65EF7">
        <w:rPr>
          <w:lang w:val="en-US"/>
        </w:rPr>
        <w:t xml:space="preserve"> </w:t>
      </w:r>
      <w:r w:rsidRPr="00DF30CA">
        <w:rPr>
          <w:lang w:val="en-US"/>
        </w:rPr>
        <w:t xml:space="preserve">No. </w:t>
      </w:r>
      <w:r w:rsidRPr="00DF30CA">
        <w:rPr>
          <w:b/>
          <w:bCs/>
          <w:lang w:val="en-US"/>
        </w:rPr>
        <w:t>5.289</w:t>
      </w:r>
      <w:r w:rsidRPr="00DF30CA">
        <w:rPr>
          <w:lang w:val="en-US"/>
        </w:rPr>
        <w:t>, Earth exploration-satellite service applications, other than the meteorological-satellite service, may also be used in the frequency bands 460</w:t>
      </w:r>
      <w:r w:rsidRPr="00DF30CA">
        <w:rPr>
          <w:lang w:val="en-US"/>
        </w:rPr>
        <w:noBreakHyphen/>
        <w:t xml:space="preserve">470 MHz and 1 690-1 710 MHz for space-to-Earth transmissions subject to not causing harmful interference to stations operating in accordance with the RR Article </w:t>
      </w:r>
      <w:r w:rsidRPr="00DF30CA">
        <w:rPr>
          <w:b/>
          <w:lang w:val="en-US"/>
        </w:rPr>
        <w:t>5</w:t>
      </w:r>
      <w:r w:rsidRPr="00DF30CA">
        <w:rPr>
          <w:lang w:val="en-US"/>
        </w:rPr>
        <w:t xml:space="preserve">. </w:t>
      </w:r>
    </w:p>
    <w:p w:rsidR="00762EDC" w:rsidRPr="00DF30CA" w:rsidRDefault="00762EDC" w:rsidP="00762EDC">
      <w:pPr>
        <w:rPr>
          <w:lang w:val="en-US"/>
        </w:rPr>
      </w:pPr>
      <w:r w:rsidRPr="00DF30CA">
        <w:rPr>
          <w:lang w:val="en-US"/>
        </w:rPr>
        <w:t xml:space="preserve">A primary allocation to the MetSat service and EESS in the frequency band 460-470 MHz would provide confidence to space and meteorological agencies deeply involved in Satellite Data Collection Programs and the public sectors funding the development and operation of such systems. Regulatory measures need to be developed to protect the mobile and fixed service, while ensuring operations of existing MetSat and EESS systems. </w:t>
      </w:r>
    </w:p>
    <w:p w:rsidR="00762EDC" w:rsidRPr="00DF30CA" w:rsidRDefault="00762EDC" w:rsidP="00762EDC">
      <w:r w:rsidRPr="00DF30CA">
        <w:lastRenderedPageBreak/>
        <w:t xml:space="preserve">Sharing studies undertaken in accordance with Resolution </w:t>
      </w:r>
      <w:r w:rsidRPr="00DF30CA">
        <w:rPr>
          <w:b/>
          <w:bCs/>
        </w:rPr>
        <w:t>766 (WRC-15)</w:t>
      </w:r>
      <w:r w:rsidRPr="00DF30CA">
        <w:rPr>
          <w:bCs/>
        </w:rPr>
        <w:t xml:space="preserve"> have shown </w:t>
      </w:r>
      <w:r w:rsidRPr="00DF30CA">
        <w:t>that the protection of existing terrestrial services allocated in the 460-470 MHz and adjacent bands will be ensured provided that MetSat and EESS satellites are compliant with the following pfd masks:</w:t>
      </w:r>
    </w:p>
    <w:p w:rsidR="00762EDC" w:rsidRPr="00DF30CA" w:rsidRDefault="00762EDC" w:rsidP="00762EDC">
      <w:r w:rsidRPr="00DF30CA">
        <w:t>For non-GSO satellites:</w:t>
      </w:r>
    </w:p>
    <w:p w:rsidR="00762EDC" w:rsidRPr="00DF30CA" w:rsidRDefault="00762EDC" w:rsidP="00762EDC">
      <w:pPr>
        <w:pStyle w:val="Equation"/>
      </w:pPr>
      <m:oMathPara>
        <m:oMath>
          <m:r>
            <w:rPr>
              <w:rFonts w:ascii="Cambria Math" w:hAnsi="Cambria Math"/>
            </w:rPr>
            <m:t>pfd</m:t>
          </m:r>
          <m:r>
            <m:rPr>
              <m:sty m:val="p"/>
            </m:rPr>
            <w:rPr>
              <w:rFonts w:ascii="Cambria Math" w:hAnsi="Cambria Math"/>
            </w:rPr>
            <m:t xml:space="preserve"> (</m:t>
          </m:r>
          <m:r>
            <w:rPr>
              <w:rFonts w:ascii="Cambria Math" w:hAnsi="Cambria Math"/>
            </w:rPr>
            <m:t>dB</m:t>
          </m:r>
          <m:r>
            <m:rPr>
              <m:sty m:val="p"/>
            </m:rPr>
            <w:rPr>
              <w:rFonts w:ascii="Cambria Math" w:hAnsi="Cambria Math"/>
            </w:rPr>
            <m:t>(</m:t>
          </m:r>
          <m:r>
            <w:rPr>
              <w:rFonts w:ascii="Cambria Math" w:hAnsi="Cambria Math"/>
            </w:rPr>
            <m:t>W</m:t>
          </m:r>
          <m:r>
            <m:rPr>
              <m:sty m:val="p"/>
            </m:rPr>
            <w:rPr>
              <w:rFonts w:ascii="Cambria Math" w:hAnsi="Cambria Math"/>
            </w:rPr>
            <m:t>/(</m:t>
          </m:r>
          <m:r>
            <w:rPr>
              <w:rFonts w:ascii="Cambria Math" w:hAnsi="Cambria Math"/>
            </w:rPr>
            <m:t>m</m:t>
          </m:r>
          <m:r>
            <m:rPr>
              <m:sty m:val="p"/>
            </m:rPr>
            <w:rPr>
              <w:rFonts w:ascii="Cambria Math" w:hAnsi="Cambria Math"/>
            </w:rPr>
            <m:t>²</m:t>
          </m:r>
          <m:r>
            <m:rPr>
              <m:sty m:val="p"/>
            </m:rPr>
            <w:rPr>
              <w:rFonts w:ascii="Cambria Math" w:hAnsi="Cambria Math"/>
            </w:rPr>
            <w:sym w:font="Symbol" w:char="F0D7"/>
          </m:r>
          <m:r>
            <m:rPr>
              <m:sty m:val="p"/>
            </m:rPr>
            <w:rPr>
              <w:rFonts w:ascii="Cambria Math" w:hAnsi="Cambria Math"/>
            </w:rPr>
            <m:t>4</m:t>
          </m:r>
          <m:r>
            <w:rPr>
              <w:rFonts w:ascii="Cambria Math" w:hAnsi="Cambria Math"/>
            </w:rPr>
            <m:t>kHz</m:t>
          </m:r>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-157                                    &amp;0°≤</m:t>
                  </m:r>
                  <m:r>
                    <m:rPr>
                      <m:sty m:val="p"/>
                    </m:rPr>
                    <w:rPr>
                      <w:rFonts w:ascii="Cambria Math" w:hAnsi="Cambria Math"/>
                    </w:rPr>
                    <w:sym w:font="Symbol" w:char="F061"/>
                  </m:r>
                  <m:r>
                    <m:rPr>
                      <m:sty m:val="p"/>
                    </m:rPr>
                    <w:rPr>
                      <w:rFonts w:ascii="Cambria Math" w:hAnsi="Cambria Math"/>
                    </w:rPr>
                    <m:t xml:space="preserve">≤5° </m:t>
                  </m:r>
                </m:e>
                <m:e>
                  <m:r>
                    <m:rPr>
                      <m:sty m:val="p"/>
                    </m:rPr>
                    <w:rPr>
                      <w:rFonts w:ascii="Cambria Math" w:hAnsi="Cambria Math"/>
                    </w:rPr>
                    <m:t>-157+0.5</m:t>
                  </m:r>
                  <m:d>
                    <m:dPr>
                      <m:ctrlPr>
                        <w:rPr>
                          <w:rFonts w:ascii="Cambria Math" w:hAnsi="Cambria Math"/>
                        </w:rPr>
                      </m:ctrlPr>
                    </m:dPr>
                    <m:e>
                      <m:r>
                        <m:rPr>
                          <m:sty m:val="p"/>
                        </m:rPr>
                        <w:rPr>
                          <w:rFonts w:ascii="Cambria Math" w:hAnsi="Cambria Math"/>
                        </w:rPr>
                        <m:t>α-5</m:t>
                      </m:r>
                    </m:e>
                  </m:d>
                  <m:r>
                    <m:rPr>
                      <m:sty m:val="p"/>
                    </m:rPr>
                    <w:rPr>
                      <w:rFonts w:ascii="Cambria Math" w:hAnsi="Cambria Math"/>
                    </w:rPr>
                    <m:t xml:space="preserve">           5°&lt;</m:t>
                  </m:r>
                  <m:r>
                    <m:rPr>
                      <m:sty m:val="p"/>
                    </m:rPr>
                    <w:rPr>
                      <w:rFonts w:ascii="Cambria Math" w:hAnsi="Cambria Math"/>
                    </w:rPr>
                    <w:sym w:font="Symbol" w:char="F061"/>
                  </m:r>
                  <m:r>
                    <m:rPr>
                      <m:sty m:val="p"/>
                    </m:rPr>
                    <w:rPr>
                      <w:rFonts w:ascii="Cambria Math" w:hAnsi="Cambria Math"/>
                    </w:rPr>
                    <m:t>&lt;15°</m:t>
                  </m:r>
                </m:e>
                <m:e>
                  <m:r>
                    <m:rPr>
                      <m:sty m:val="p"/>
                    </m:rPr>
                    <w:rPr>
                      <w:rFonts w:ascii="Cambria Math" w:hAnsi="Cambria Math"/>
                    </w:rPr>
                    <m:t>-152                                   15°≤</m:t>
                  </m:r>
                  <m:r>
                    <m:rPr>
                      <m:sty m:val="p"/>
                    </m:rPr>
                    <w:rPr>
                      <w:rFonts w:ascii="Cambria Math" w:hAnsi="Cambria Math"/>
                    </w:rPr>
                    <w:sym w:font="Symbol" w:char="F061"/>
                  </m:r>
                  <m:r>
                    <m:rPr>
                      <m:sty m:val="p"/>
                    </m:rPr>
                    <w:rPr>
                      <w:rFonts w:ascii="Cambria Math" w:hAnsi="Cambria Math"/>
                    </w:rPr>
                    <m:t>≤90°</m:t>
                  </m:r>
                </m:e>
              </m:eqArr>
            </m:e>
          </m:d>
        </m:oMath>
      </m:oMathPara>
    </w:p>
    <w:p w:rsidR="00762EDC" w:rsidRPr="00DF30CA" w:rsidRDefault="00762EDC" w:rsidP="00762EDC">
      <w:r w:rsidRPr="00DF30CA">
        <w:t>For GSO satellites:</w:t>
      </w:r>
    </w:p>
    <w:p w:rsidR="00762EDC" w:rsidRPr="00DF30CA" w:rsidRDefault="00762EDC" w:rsidP="00762EDC">
      <w:pPr>
        <w:pStyle w:val="Equation"/>
      </w:pPr>
      <m:oMathPara>
        <m:oMath>
          <m:r>
            <w:rPr>
              <w:rFonts w:ascii="Cambria Math" w:hAnsi="Cambria Math"/>
            </w:rPr>
            <m:t>pfd</m:t>
          </m:r>
          <m:r>
            <m:rPr>
              <m:sty m:val="p"/>
            </m:rPr>
            <w:rPr>
              <w:rFonts w:ascii="Cambria Math" w:hAnsi="Cambria Math"/>
            </w:rPr>
            <m:t xml:space="preserve"> (</m:t>
          </m:r>
          <m:r>
            <w:rPr>
              <w:rFonts w:ascii="Cambria Math" w:hAnsi="Cambria Math"/>
            </w:rPr>
            <m:t>dB</m:t>
          </m:r>
          <m:r>
            <m:rPr>
              <m:sty m:val="p"/>
            </m:rPr>
            <w:rPr>
              <w:rFonts w:ascii="Cambria Math" w:hAnsi="Cambria Math"/>
            </w:rPr>
            <m:t>(</m:t>
          </m:r>
          <m:r>
            <w:rPr>
              <w:rFonts w:ascii="Cambria Math" w:hAnsi="Cambria Math"/>
            </w:rPr>
            <m:t>W</m:t>
          </m:r>
          <m:r>
            <m:rPr>
              <m:sty m:val="p"/>
            </m:rP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m:rPr>
              <m:sty m:val="p"/>
            </m:rPr>
            <w:rPr>
              <w:rFonts w:ascii="Cambria Math" w:hAnsi="Cambria Math"/>
            </w:rPr>
            <w:sym w:font="Symbol" w:char="F0D7"/>
          </m:r>
          <m:r>
            <m:rPr>
              <m:sty m:val="p"/>
            </m:rPr>
            <w:rPr>
              <w:rFonts w:ascii="Cambria Math" w:hAnsi="Cambria Math"/>
            </w:rPr>
            <m:t>4</m:t>
          </m:r>
          <m:r>
            <w:rPr>
              <w:rFonts w:ascii="Cambria Math" w:hAnsi="Cambria Math"/>
            </w:rPr>
            <m:t>kHz</m:t>
          </m:r>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-162                                            &amp;0°≤</m:t>
                  </m:r>
                  <m:r>
                    <m:rPr>
                      <m:sty m:val="p"/>
                    </m:rPr>
                    <w:rPr>
                      <w:rFonts w:ascii="Cambria Math" w:hAnsi="Cambria Math"/>
                    </w:rPr>
                    <w:sym w:font="Symbol" w:char="F061"/>
                  </m:r>
                  <m:r>
                    <m:rPr>
                      <m:sty m:val="p"/>
                    </m:rPr>
                    <w:rPr>
                      <w:rFonts w:ascii="Cambria Math" w:hAnsi="Cambria Math"/>
                    </w:rPr>
                    <m:t xml:space="preserve">≤15° </m:t>
                  </m:r>
                </m:e>
                <m:e>
                  <m:r>
                    <m:rPr>
                      <m:sty m:val="p"/>
                    </m:rPr>
                    <w:rPr>
                      <w:rFonts w:ascii="Cambria Math" w:hAnsi="Cambria Math"/>
                    </w:rPr>
                    <m:t>-162+0.5</m:t>
                  </m:r>
                  <m:d>
                    <m:dPr>
                      <m:ctrlPr>
                        <w:rPr>
                          <w:rFonts w:ascii="Cambria Math" w:hAnsi="Cambria Math"/>
                        </w:rPr>
                      </m:ctrlPr>
                    </m:dPr>
                    <m:e>
                      <m:r>
                        <m:rPr>
                          <m:sty m:val="p"/>
                        </m:rPr>
                        <w:rPr>
                          <w:rFonts w:ascii="Cambria Math" w:hAnsi="Cambria Math"/>
                        </w:rPr>
                        <m:t>α-15</m:t>
                      </m:r>
                    </m:e>
                  </m:d>
                  <m:r>
                    <m:rPr>
                      <m:sty m:val="p"/>
                    </m:rPr>
                    <w:rPr>
                      <w:rFonts w:ascii="Cambria Math" w:hAnsi="Cambria Math"/>
                    </w:rPr>
                    <m:t xml:space="preserve">               15°&lt;</m:t>
                  </m:r>
                  <m:r>
                    <m:rPr>
                      <m:sty m:val="p"/>
                    </m:rPr>
                    <w:rPr>
                      <w:rFonts w:ascii="Cambria Math" w:hAnsi="Cambria Math"/>
                    </w:rPr>
                    <w:sym w:font="Symbol" w:char="F061"/>
                  </m:r>
                  <m:r>
                    <m:rPr>
                      <m:sty m:val="p"/>
                    </m:rPr>
                    <w:rPr>
                      <w:rFonts w:ascii="Cambria Math" w:hAnsi="Cambria Math"/>
                    </w:rPr>
                    <m:t>&lt;35°</m:t>
                  </m:r>
                </m:e>
                <m:e>
                  <m:r>
                    <m:rPr>
                      <m:sty m:val="p"/>
                    </m:rPr>
                    <w:rPr>
                      <w:rFonts w:ascii="Cambria Math" w:hAnsi="Cambria Math"/>
                    </w:rPr>
                    <m:t>-152                                            35°≤</m:t>
                  </m:r>
                  <m:r>
                    <m:rPr>
                      <m:sty m:val="p"/>
                    </m:rPr>
                    <w:rPr>
                      <w:rFonts w:ascii="Cambria Math" w:hAnsi="Cambria Math"/>
                    </w:rPr>
                    <w:sym w:font="Symbol" w:char="F061"/>
                  </m:r>
                  <m:r>
                    <m:rPr>
                      <m:sty m:val="p"/>
                    </m:rPr>
                    <w:rPr>
                      <w:rFonts w:ascii="Cambria Math" w:hAnsi="Cambria Math"/>
                    </w:rPr>
                    <m:t>≤90°</m:t>
                  </m:r>
                </m:e>
              </m:eqArr>
            </m:e>
          </m:d>
        </m:oMath>
      </m:oMathPara>
    </w:p>
    <w:p w:rsidR="00762EDC" w:rsidRDefault="00762EDC" w:rsidP="00762EDC">
      <w:pPr>
        <w:rPr>
          <w:szCs w:val="24"/>
          <w:lang w:eastAsia="ja-JP"/>
        </w:rPr>
      </w:pPr>
      <w:r w:rsidRPr="00DF30CA">
        <w:rPr>
          <w:szCs w:val="24"/>
          <w:lang w:eastAsia="ja-JP"/>
        </w:rPr>
        <w:t xml:space="preserve">where </w:t>
      </w:r>
      <w:r w:rsidR="00A8324A" w:rsidRPr="00A8324A">
        <w:rPr>
          <w:rFonts w:ascii="Symbol" w:hAnsi="Symbol"/>
          <w:szCs w:val="24"/>
        </w:rPr>
        <w:t></w:t>
      </w:r>
      <w:r w:rsidRPr="00DF30CA">
        <w:rPr>
          <w:szCs w:val="24"/>
          <w:lang w:eastAsia="ja-JP"/>
        </w:rPr>
        <w:t xml:space="preserve"> is the angle of arrival above the horizontal plane, in degrees.</w:t>
      </w:r>
    </w:p>
    <w:p w:rsidR="00762EDC" w:rsidRPr="00762EDC" w:rsidRDefault="00762EDC" w:rsidP="00762EDC">
      <w:pPr>
        <w:rPr>
          <w:szCs w:val="24"/>
          <w:lang w:eastAsia="ja-JP"/>
        </w:rPr>
      </w:pPr>
      <w:r w:rsidRPr="00762EDC">
        <w:rPr>
          <w:szCs w:val="24"/>
          <w:lang w:eastAsia="ja-JP"/>
        </w:rPr>
        <w:t xml:space="preserve">In addition, the following conditions are proposed: </w:t>
      </w:r>
    </w:p>
    <w:p w:rsidR="00762EDC" w:rsidRPr="00762EDC" w:rsidRDefault="00762EDC" w:rsidP="00762EDC">
      <w:pPr>
        <w:pStyle w:val="enumlev1"/>
        <w:rPr>
          <w:lang w:eastAsia="ja-JP"/>
        </w:rPr>
      </w:pPr>
      <w:r>
        <w:rPr>
          <w:lang w:eastAsia="ja-JP"/>
        </w:rPr>
        <w:t>-</w:t>
      </w:r>
      <w:r>
        <w:rPr>
          <w:lang w:eastAsia="ja-JP"/>
        </w:rPr>
        <w:tab/>
      </w:r>
      <w:r w:rsidRPr="00762EDC">
        <w:rPr>
          <w:lang w:eastAsia="ja-JP"/>
        </w:rPr>
        <w:t>priority of MetSat over EESS as currently expressed in the RR is retained;</w:t>
      </w:r>
    </w:p>
    <w:p w:rsidR="00762EDC" w:rsidRPr="00762EDC" w:rsidRDefault="00762EDC" w:rsidP="00762EDC">
      <w:pPr>
        <w:pStyle w:val="enumlev1"/>
        <w:rPr>
          <w:lang w:eastAsia="ja-JP"/>
        </w:rPr>
      </w:pPr>
      <w:r>
        <w:rPr>
          <w:lang w:eastAsia="ja-JP"/>
        </w:rPr>
        <w:t>-</w:t>
      </w:r>
      <w:r>
        <w:rPr>
          <w:lang w:eastAsia="ja-JP"/>
        </w:rPr>
        <w:tab/>
      </w:r>
      <w:r w:rsidRPr="00762EDC">
        <w:rPr>
          <w:lang w:eastAsia="ja-JP"/>
        </w:rPr>
        <w:t xml:space="preserve">MetSat and EESS earth stations will not claim protection from stations in the fixed and mobile services, consistently with </w:t>
      </w:r>
      <w:r w:rsidRPr="00762EDC">
        <w:rPr>
          <w:i/>
          <w:lang w:eastAsia="ja-JP"/>
        </w:rPr>
        <w:t>recognizing f)</w:t>
      </w:r>
      <w:r w:rsidRPr="00762EDC">
        <w:rPr>
          <w:lang w:eastAsia="ja-JP"/>
        </w:rPr>
        <w:t xml:space="preserve"> of Resolution </w:t>
      </w:r>
      <w:r w:rsidRPr="00762EDC">
        <w:rPr>
          <w:b/>
          <w:lang w:eastAsia="ja-JP"/>
        </w:rPr>
        <w:t>766</w:t>
      </w:r>
      <w:r>
        <w:rPr>
          <w:b/>
          <w:lang w:eastAsia="ja-JP"/>
        </w:rPr>
        <w:t xml:space="preserve"> (WRC-15)</w:t>
      </w:r>
      <w:r w:rsidRPr="00762EDC">
        <w:rPr>
          <w:lang w:eastAsia="ja-JP"/>
        </w:rPr>
        <w:t>;</w:t>
      </w:r>
    </w:p>
    <w:p w:rsidR="00762EDC" w:rsidRPr="00DF30CA" w:rsidRDefault="00762EDC" w:rsidP="00762EDC">
      <w:pPr>
        <w:pStyle w:val="enumlev1"/>
        <w:rPr>
          <w:lang w:eastAsia="ja-JP"/>
        </w:rPr>
      </w:pPr>
      <w:r>
        <w:rPr>
          <w:lang w:eastAsia="ja-JP"/>
        </w:rPr>
        <w:t>-</w:t>
      </w:r>
      <w:r>
        <w:rPr>
          <w:lang w:eastAsia="ja-JP"/>
        </w:rPr>
        <w:tab/>
      </w:r>
      <w:r w:rsidRPr="00762EDC">
        <w:rPr>
          <w:lang w:eastAsia="ja-JP"/>
        </w:rPr>
        <w:t>existing MetSat and EESS satellite networks and sy</w:t>
      </w:r>
      <w:r>
        <w:rPr>
          <w:lang w:eastAsia="ja-JP"/>
        </w:rPr>
        <w:t>stems in the frequency band 460</w:t>
      </w:r>
      <w:r>
        <w:rPr>
          <w:lang w:eastAsia="ja-JP"/>
        </w:rPr>
        <w:noBreakHyphen/>
      </w:r>
      <w:r w:rsidRPr="00762EDC">
        <w:rPr>
          <w:lang w:eastAsia="ja-JP"/>
        </w:rPr>
        <w:t>470</w:t>
      </w:r>
      <w:r>
        <w:rPr>
          <w:lang w:eastAsia="ja-JP"/>
        </w:rPr>
        <w:t> </w:t>
      </w:r>
      <w:r w:rsidRPr="00762EDC">
        <w:rPr>
          <w:lang w:eastAsia="ja-JP"/>
        </w:rPr>
        <w:t>MHz for which complete notification information for non-geostationary satellite networks or coordination request or advance publication information for geostationary satellite networks was received by the Radiocommunication Bureau prior to the end of WRC 19 and whose space stations do not meet the pfd limits shall be used on a primary basis subject to not causing harmful interference to the fixed and mobile service stations.</w:t>
      </w:r>
    </w:p>
    <w:p w:rsidR="00762EDC" w:rsidRPr="00762EDC" w:rsidRDefault="00762EDC" w:rsidP="00762EDC">
      <w:r w:rsidRPr="00762EDC">
        <w:t xml:space="preserve">CEPT recognises the need for ITU-R studies on a harmonized spectrum partitioning (GSO vs. </w:t>
      </w:r>
      <w:r>
        <w:t>non</w:t>
      </w:r>
      <w:r>
        <w:noBreakHyphen/>
      </w:r>
      <w:r w:rsidRPr="00762EDC">
        <w:t>GSO DCS) of the global operating environment to allow full development of DCS.</w:t>
      </w:r>
    </w:p>
    <w:p w:rsidR="00187BD9" w:rsidRDefault="00762EDC" w:rsidP="00762EDC">
      <w:pPr>
        <w:pStyle w:val="Headingb"/>
      </w:pPr>
      <w:r>
        <w:t>Proposals</w:t>
      </w:r>
      <w:r w:rsidR="00187BD9">
        <w:br w:type="page"/>
      </w:r>
    </w:p>
    <w:p w:rsidR="00762EDC" w:rsidRDefault="00762EDC" w:rsidP="00762EDC">
      <w:pPr>
        <w:pStyle w:val="ArtNo"/>
        <w:spacing w:before="0"/>
        <w:rPr>
          <w:lang w:val="en-AU"/>
        </w:rPr>
      </w:pPr>
      <w:bookmarkStart w:id="9" w:name="_Toc451865291"/>
      <w:r w:rsidRPr="006D07BF">
        <w:lastRenderedPageBreak/>
        <w:t>ARTICLE</w:t>
      </w:r>
      <w:r>
        <w:rPr>
          <w:lang w:val="en-AU"/>
        </w:rPr>
        <w:t xml:space="preserve"> </w:t>
      </w:r>
      <w:r>
        <w:rPr>
          <w:rStyle w:val="href"/>
          <w:rFonts w:eastAsiaTheme="majorEastAsia"/>
          <w:color w:val="000000"/>
          <w:lang w:val="en-AU"/>
        </w:rPr>
        <w:t>5</w:t>
      </w:r>
      <w:bookmarkEnd w:id="9"/>
    </w:p>
    <w:p w:rsidR="00762EDC" w:rsidRDefault="00762EDC" w:rsidP="00762EDC">
      <w:pPr>
        <w:pStyle w:val="Arttitle"/>
        <w:rPr>
          <w:lang w:val="en-US"/>
        </w:rPr>
      </w:pPr>
      <w:bookmarkStart w:id="10" w:name="_Toc327956583"/>
      <w:bookmarkStart w:id="11" w:name="_Toc451865292"/>
      <w:r w:rsidRPr="006D07BF">
        <w:t>Frequency</w:t>
      </w:r>
      <w:r>
        <w:t xml:space="preserve"> allocations</w:t>
      </w:r>
      <w:bookmarkEnd w:id="10"/>
      <w:bookmarkEnd w:id="11"/>
    </w:p>
    <w:p w:rsidR="00762EDC" w:rsidRPr="00B25B23" w:rsidRDefault="00762EDC" w:rsidP="00762EDC">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p>
    <w:p w:rsidR="00762EDC" w:rsidRDefault="00762EDC" w:rsidP="00762EDC">
      <w:pPr>
        <w:pStyle w:val="Proposal"/>
      </w:pPr>
      <w:r>
        <w:t>MOD</w:t>
      </w:r>
      <w:r>
        <w:tab/>
        <w:t>EUR/XXXXA3/1</w:t>
      </w:r>
    </w:p>
    <w:p w:rsidR="00762EDC" w:rsidRPr="002B657C" w:rsidRDefault="00762EDC" w:rsidP="00762EDC">
      <w:pPr>
        <w:pStyle w:val="Tabletitle"/>
      </w:pPr>
      <w:r w:rsidRPr="00A45B2F">
        <w:t>460-890 MHz</w:t>
      </w:r>
    </w:p>
    <w:tbl>
      <w:tblPr>
        <w:tblW w:w="9307" w:type="dxa"/>
        <w:jc w:val="center"/>
        <w:tblLayout w:type="fixed"/>
        <w:tblCellMar>
          <w:left w:w="107" w:type="dxa"/>
          <w:right w:w="107" w:type="dxa"/>
        </w:tblCellMar>
        <w:tblLook w:val="0000" w:firstRow="0" w:lastRow="0" w:firstColumn="0" w:lastColumn="0" w:noHBand="0" w:noVBand="0"/>
      </w:tblPr>
      <w:tblGrid>
        <w:gridCol w:w="3101"/>
        <w:gridCol w:w="3103"/>
        <w:gridCol w:w="3103"/>
      </w:tblGrid>
      <w:tr w:rsidR="00762EDC" w:rsidRPr="00F5119C" w:rsidTr="00762EDC">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rsidR="00762EDC" w:rsidRPr="00F5119C" w:rsidRDefault="00762EDC" w:rsidP="00762EDC">
            <w:pPr>
              <w:pStyle w:val="Tablehead"/>
            </w:pPr>
            <w:r w:rsidRPr="00F5119C">
              <w:t>Allocation to services</w:t>
            </w:r>
          </w:p>
        </w:tc>
      </w:tr>
      <w:tr w:rsidR="00762EDC" w:rsidRPr="00F5119C" w:rsidTr="00762EDC">
        <w:trPr>
          <w:cantSplit/>
          <w:jc w:val="center"/>
        </w:trPr>
        <w:tc>
          <w:tcPr>
            <w:tcW w:w="3101" w:type="dxa"/>
            <w:tcBorders>
              <w:top w:val="single" w:sz="6" w:space="0" w:color="auto"/>
              <w:left w:val="single" w:sz="6" w:space="0" w:color="auto"/>
              <w:bottom w:val="single" w:sz="6" w:space="0" w:color="auto"/>
              <w:right w:val="single" w:sz="6" w:space="0" w:color="auto"/>
            </w:tcBorders>
          </w:tcPr>
          <w:p w:rsidR="00762EDC" w:rsidRPr="00F5119C" w:rsidRDefault="00762EDC" w:rsidP="00762EDC">
            <w:pPr>
              <w:pStyle w:val="Tablehead"/>
            </w:pPr>
            <w:r w:rsidRPr="00F5119C">
              <w:t>Region 1</w:t>
            </w:r>
          </w:p>
        </w:tc>
        <w:tc>
          <w:tcPr>
            <w:tcW w:w="3103" w:type="dxa"/>
            <w:tcBorders>
              <w:top w:val="single" w:sz="6" w:space="0" w:color="auto"/>
              <w:left w:val="single" w:sz="6" w:space="0" w:color="auto"/>
              <w:bottom w:val="single" w:sz="6" w:space="0" w:color="auto"/>
              <w:right w:val="single" w:sz="6" w:space="0" w:color="auto"/>
            </w:tcBorders>
          </w:tcPr>
          <w:p w:rsidR="00762EDC" w:rsidRPr="00F5119C" w:rsidRDefault="00762EDC" w:rsidP="00762EDC">
            <w:pPr>
              <w:pStyle w:val="Tablehead"/>
            </w:pPr>
            <w:r w:rsidRPr="00F5119C">
              <w:t>Region 2</w:t>
            </w:r>
          </w:p>
        </w:tc>
        <w:tc>
          <w:tcPr>
            <w:tcW w:w="3103" w:type="dxa"/>
            <w:tcBorders>
              <w:top w:val="single" w:sz="6" w:space="0" w:color="auto"/>
              <w:left w:val="single" w:sz="6" w:space="0" w:color="auto"/>
              <w:bottom w:val="single" w:sz="6" w:space="0" w:color="auto"/>
              <w:right w:val="single" w:sz="6" w:space="0" w:color="auto"/>
            </w:tcBorders>
          </w:tcPr>
          <w:p w:rsidR="00762EDC" w:rsidRPr="00F5119C" w:rsidRDefault="00762EDC" w:rsidP="00762EDC">
            <w:pPr>
              <w:pStyle w:val="Tablehead"/>
            </w:pPr>
            <w:r w:rsidRPr="00F5119C">
              <w:t>Region 3</w:t>
            </w:r>
          </w:p>
        </w:tc>
      </w:tr>
      <w:tr w:rsidR="00762EDC" w:rsidRPr="00F5119C" w:rsidTr="00762EDC">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rsidR="00F65EF7" w:rsidRPr="005211CA" w:rsidRDefault="00762EDC" w:rsidP="00F65EF7">
            <w:pPr>
              <w:pStyle w:val="TableTextS5"/>
              <w:keepNext/>
              <w:tabs>
                <w:tab w:val="clear" w:pos="2977"/>
                <w:tab w:val="left" w:pos="2991"/>
              </w:tabs>
              <w:rPr>
                <w:ins w:id="12" w:author="ITU-BR" w:date="2019-04-15T13:28:00Z"/>
              </w:rPr>
            </w:pPr>
            <w:r w:rsidRPr="005279B9">
              <w:rPr>
                <w:rStyle w:val="Tablefreq"/>
              </w:rPr>
              <w:t>460-470</w:t>
            </w:r>
            <w:r w:rsidRPr="005279B9">
              <w:rPr>
                <w:rStyle w:val="Tablefreq"/>
              </w:rPr>
              <w:tab/>
            </w:r>
            <w:r w:rsidRPr="00F5119C">
              <w:rPr>
                <w:color w:val="000000"/>
              </w:rPr>
              <w:tab/>
            </w:r>
            <w:ins w:id="13" w:author="ITU-BR" w:date="2019-04-15T13:28:00Z">
              <w:r w:rsidR="00F65EF7" w:rsidRPr="005211CA">
                <w:t>EARTH EXPLORATION-SATELLITE (space-to-Earth)</w:t>
              </w:r>
            </w:ins>
          </w:p>
          <w:p w:rsidR="00762EDC" w:rsidRPr="005211CA" w:rsidRDefault="00F65EF7" w:rsidP="00F65EF7">
            <w:pPr>
              <w:pStyle w:val="TableTextS5"/>
              <w:keepNext/>
              <w:tabs>
                <w:tab w:val="clear" w:pos="2977"/>
                <w:tab w:val="left" w:pos="2991"/>
              </w:tabs>
              <w:rPr>
                <w:color w:val="000000"/>
              </w:rPr>
            </w:pPr>
            <w:ins w:id="14" w:author="ITU-BR" w:date="2019-04-15T13:28:00Z">
              <w:r w:rsidRPr="005211CA">
                <w:rPr>
                  <w:color w:val="000000"/>
                </w:rPr>
                <w:tab/>
              </w:r>
              <w:r w:rsidRPr="005211CA">
                <w:rPr>
                  <w:color w:val="000000"/>
                </w:rPr>
                <w:tab/>
              </w:r>
              <w:r w:rsidRPr="005211CA">
                <w:rPr>
                  <w:color w:val="000000"/>
                </w:rPr>
                <w:tab/>
              </w:r>
              <w:r w:rsidRPr="005211CA">
                <w:rPr>
                  <w:color w:val="000000"/>
                </w:rPr>
                <w:tab/>
              </w:r>
            </w:ins>
            <w:r w:rsidR="00762EDC" w:rsidRPr="005211CA">
              <w:rPr>
                <w:color w:val="000000"/>
              </w:rPr>
              <w:t>FIXED</w:t>
            </w:r>
          </w:p>
          <w:p w:rsidR="00762EDC" w:rsidRPr="005211CA" w:rsidRDefault="00762EDC">
            <w:pPr>
              <w:pStyle w:val="TableTextS5"/>
              <w:keepNext/>
              <w:tabs>
                <w:tab w:val="clear" w:pos="2977"/>
                <w:tab w:val="left" w:pos="2991"/>
              </w:tabs>
              <w:rPr>
                <w:color w:val="000000"/>
              </w:rPr>
            </w:pPr>
            <w:r w:rsidRPr="005211CA">
              <w:rPr>
                <w:color w:val="000000"/>
              </w:rPr>
              <w:tab/>
            </w:r>
            <w:r w:rsidRPr="005211CA">
              <w:rPr>
                <w:color w:val="000000"/>
              </w:rPr>
              <w:tab/>
            </w:r>
            <w:r w:rsidRPr="005211CA">
              <w:rPr>
                <w:color w:val="000000"/>
              </w:rPr>
              <w:tab/>
            </w:r>
            <w:r w:rsidRPr="005211CA">
              <w:rPr>
                <w:color w:val="000000"/>
              </w:rPr>
              <w:tab/>
            </w:r>
            <w:ins w:id="15" w:author="Author">
              <w:r w:rsidRPr="005211CA">
                <w:t>METEOROLOGICAL-SATELLITE (space-to-Earth)</w:t>
              </w:r>
            </w:ins>
          </w:p>
          <w:p w:rsidR="00762EDC" w:rsidRPr="005211CA" w:rsidRDefault="00762EDC" w:rsidP="00762EDC">
            <w:pPr>
              <w:pStyle w:val="TableTextS5"/>
              <w:tabs>
                <w:tab w:val="clear" w:pos="2977"/>
                <w:tab w:val="left" w:pos="2989"/>
              </w:tabs>
              <w:spacing w:line="190" w:lineRule="exact"/>
              <w:rPr>
                <w:color w:val="000000"/>
              </w:rPr>
            </w:pPr>
            <w:r w:rsidRPr="005211CA">
              <w:rPr>
                <w:color w:val="000000"/>
              </w:rPr>
              <w:tab/>
            </w:r>
            <w:r w:rsidRPr="005211CA">
              <w:rPr>
                <w:color w:val="000000"/>
              </w:rPr>
              <w:tab/>
            </w:r>
            <w:r w:rsidRPr="005211CA">
              <w:rPr>
                <w:color w:val="000000"/>
              </w:rPr>
              <w:tab/>
            </w:r>
            <w:r w:rsidRPr="005211CA">
              <w:rPr>
                <w:color w:val="000000"/>
              </w:rPr>
              <w:tab/>
              <w:t xml:space="preserve">MOBILE </w:t>
            </w:r>
            <w:r w:rsidRPr="005211CA">
              <w:t xml:space="preserve"> </w:t>
            </w:r>
            <w:r w:rsidRPr="005211CA">
              <w:rPr>
                <w:rStyle w:val="Artref"/>
                <w:color w:val="000000"/>
              </w:rPr>
              <w:t>5.286AA</w:t>
            </w:r>
          </w:p>
          <w:p w:rsidR="00762EDC" w:rsidRPr="005211CA" w:rsidDel="00762EDC" w:rsidRDefault="00762EDC" w:rsidP="00762EDC">
            <w:pPr>
              <w:pStyle w:val="TableTextS5"/>
              <w:tabs>
                <w:tab w:val="clear" w:pos="2977"/>
                <w:tab w:val="left" w:pos="2989"/>
              </w:tabs>
              <w:spacing w:line="190" w:lineRule="exact"/>
              <w:rPr>
                <w:del w:id="16" w:author="PTA" w:date="2019-04-14T23:12:00Z"/>
                <w:color w:val="000000"/>
              </w:rPr>
            </w:pPr>
            <w:del w:id="17" w:author="PTA" w:date="2019-04-14T23:12:00Z">
              <w:r w:rsidRPr="005211CA" w:rsidDel="00762EDC">
                <w:rPr>
                  <w:color w:val="000000"/>
                </w:rPr>
                <w:tab/>
              </w:r>
              <w:r w:rsidRPr="005211CA" w:rsidDel="00762EDC">
                <w:rPr>
                  <w:color w:val="000000"/>
                </w:rPr>
                <w:tab/>
              </w:r>
              <w:r w:rsidRPr="005211CA" w:rsidDel="00762EDC">
                <w:rPr>
                  <w:color w:val="000000"/>
                </w:rPr>
                <w:tab/>
              </w:r>
              <w:r w:rsidRPr="005211CA" w:rsidDel="00762EDC">
                <w:rPr>
                  <w:color w:val="000000"/>
                </w:rPr>
                <w:tab/>
                <w:delText xml:space="preserve">Meteorological-satellite (space-to-Earth) </w:delText>
              </w:r>
            </w:del>
          </w:p>
          <w:p w:rsidR="00762EDC" w:rsidRPr="00F5119C" w:rsidRDefault="00762EDC">
            <w:pPr>
              <w:pStyle w:val="TableTextS5"/>
              <w:spacing w:line="190" w:lineRule="exact"/>
            </w:pPr>
            <w:r w:rsidRPr="005211CA">
              <w:rPr>
                <w:color w:val="000000"/>
              </w:rPr>
              <w:tab/>
            </w:r>
            <w:r w:rsidRPr="005211CA">
              <w:rPr>
                <w:color w:val="000000"/>
              </w:rPr>
              <w:tab/>
            </w:r>
            <w:r w:rsidRPr="005211CA">
              <w:rPr>
                <w:color w:val="000000"/>
              </w:rPr>
              <w:tab/>
            </w:r>
            <w:r w:rsidRPr="005211CA">
              <w:rPr>
                <w:color w:val="000000"/>
              </w:rPr>
              <w:tab/>
            </w:r>
            <w:r w:rsidRPr="005211CA">
              <w:rPr>
                <w:rStyle w:val="Artref"/>
                <w:color w:val="000000"/>
              </w:rPr>
              <w:t>5.287</w:t>
            </w:r>
            <w:r w:rsidRPr="005211CA">
              <w:rPr>
                <w:color w:val="000000"/>
              </w:rPr>
              <w:t xml:space="preserve">  </w:t>
            </w:r>
            <w:r w:rsidRPr="005211CA">
              <w:rPr>
                <w:rStyle w:val="Artref"/>
                <w:color w:val="000000"/>
              </w:rPr>
              <w:t>5.288</w:t>
            </w:r>
            <w:r w:rsidRPr="005211CA">
              <w:rPr>
                <w:color w:val="000000"/>
              </w:rPr>
              <w:t xml:space="preserve">  </w:t>
            </w:r>
            <w:del w:id="18" w:author="PTA" w:date="2019-04-14T23:17:00Z">
              <w:r w:rsidRPr="005211CA" w:rsidDel="00762EDC">
                <w:rPr>
                  <w:rStyle w:val="Artref"/>
                  <w:color w:val="000000"/>
                </w:rPr>
                <w:delText>5.289</w:delText>
              </w:r>
              <w:r w:rsidRPr="005211CA" w:rsidDel="00762EDC">
                <w:rPr>
                  <w:color w:val="000000"/>
                </w:rPr>
                <w:delText xml:space="preserve">  </w:delText>
              </w:r>
            </w:del>
            <w:del w:id="19" w:author="PTA" w:date="2019-04-14T23:13:00Z">
              <w:r w:rsidRPr="005211CA" w:rsidDel="00762EDC">
                <w:rPr>
                  <w:rStyle w:val="Artref"/>
                  <w:color w:val="000000"/>
                </w:rPr>
                <w:delText>5.290</w:delText>
              </w:r>
            </w:del>
            <w:ins w:id="20" w:author="PTA" w:date="2019-04-14T23:13:00Z">
              <w:r w:rsidRPr="005211CA">
                <w:rPr>
                  <w:rStyle w:val="Artref"/>
                  <w:color w:val="000000"/>
                </w:rPr>
                <w:t xml:space="preserve">  ADD 5.</w:t>
              </w:r>
            </w:ins>
            <w:ins w:id="21" w:author="ITU-BR" w:date="2019-04-15T13:31:00Z">
              <w:r w:rsidR="00936E20" w:rsidRPr="005211CA">
                <w:rPr>
                  <w:rStyle w:val="Artref"/>
                  <w:color w:val="000000"/>
                </w:rPr>
                <w:t>A</w:t>
              </w:r>
            </w:ins>
            <w:ins w:id="22" w:author="PTA" w:date="2019-04-14T23:13:00Z">
              <w:r w:rsidRPr="005211CA">
                <w:rPr>
                  <w:rStyle w:val="Artref"/>
                  <w:color w:val="000000"/>
                </w:rPr>
                <w:t>13</w:t>
              </w:r>
            </w:ins>
          </w:p>
        </w:tc>
      </w:tr>
    </w:tbl>
    <w:p w:rsidR="00762EDC" w:rsidRDefault="00762EDC">
      <w:pPr>
        <w:pStyle w:val="Reasons"/>
      </w:pPr>
      <w:r>
        <w:rPr>
          <w:b/>
        </w:rPr>
        <w:t>Reasons:</w:t>
      </w:r>
      <w:r>
        <w:tab/>
      </w:r>
      <w:r w:rsidRPr="00762EDC">
        <w:t xml:space="preserve">According to studies under Resolution </w:t>
      </w:r>
      <w:r w:rsidRPr="00762EDC">
        <w:rPr>
          <w:b/>
        </w:rPr>
        <w:t>766 (WRC-15)</w:t>
      </w:r>
      <w:r w:rsidRPr="00762EDC">
        <w:t>, the secondary allocation to meteorological satellite service (space-to-Earth) in the frequency band 460-470 MHz is upgraded to primary and a new primary Earth exploration-satellite service (space-to-Earth) allocation is added.</w:t>
      </w:r>
    </w:p>
    <w:p w:rsidR="00762EDC" w:rsidRDefault="00D864AF" w:rsidP="00762EDC">
      <w:pPr>
        <w:pStyle w:val="Proposal"/>
      </w:pPr>
      <w:r>
        <w:t>MOD</w:t>
      </w:r>
      <w:r>
        <w:tab/>
        <w:t>EUR/XXXX</w:t>
      </w:r>
      <w:r w:rsidR="00762EDC">
        <w:t>A3/</w:t>
      </w:r>
      <w:r>
        <w:t>2</w:t>
      </w:r>
    </w:p>
    <w:p w:rsidR="00762EDC" w:rsidRPr="002B657C" w:rsidRDefault="00762EDC" w:rsidP="00762EDC">
      <w:pPr>
        <w:pStyle w:val="Tabletitle"/>
      </w:pPr>
      <w:r w:rsidRPr="00A5455A">
        <w:t>1 660-1 710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762EDC" w:rsidTr="00762EDC">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rsidR="00762EDC" w:rsidRPr="002B657C" w:rsidRDefault="00762EDC" w:rsidP="00762EDC">
            <w:pPr>
              <w:pStyle w:val="Tablehead"/>
            </w:pPr>
            <w:r w:rsidRPr="002B657C">
              <w:t>Allocation to services</w:t>
            </w:r>
          </w:p>
        </w:tc>
      </w:tr>
      <w:tr w:rsidR="00762EDC" w:rsidTr="00762EDC">
        <w:trPr>
          <w:cantSplit/>
          <w:jc w:val="center"/>
        </w:trPr>
        <w:tc>
          <w:tcPr>
            <w:tcW w:w="3099" w:type="dxa"/>
            <w:tcBorders>
              <w:top w:val="single" w:sz="4" w:space="0" w:color="auto"/>
              <w:left w:val="single" w:sz="6" w:space="0" w:color="auto"/>
              <w:bottom w:val="single" w:sz="6" w:space="0" w:color="auto"/>
              <w:right w:val="single" w:sz="6" w:space="0" w:color="auto"/>
            </w:tcBorders>
            <w:hideMark/>
          </w:tcPr>
          <w:p w:rsidR="00762EDC" w:rsidRPr="002B657C" w:rsidRDefault="00762EDC" w:rsidP="00762EDC">
            <w:pPr>
              <w:pStyle w:val="Tablehead"/>
            </w:pPr>
            <w:r w:rsidRPr="002B657C">
              <w:t>Region 1</w:t>
            </w:r>
          </w:p>
        </w:tc>
        <w:tc>
          <w:tcPr>
            <w:tcW w:w="3100" w:type="dxa"/>
            <w:tcBorders>
              <w:top w:val="single" w:sz="4" w:space="0" w:color="auto"/>
              <w:left w:val="single" w:sz="6" w:space="0" w:color="auto"/>
              <w:bottom w:val="single" w:sz="6" w:space="0" w:color="auto"/>
              <w:right w:val="single" w:sz="6" w:space="0" w:color="auto"/>
            </w:tcBorders>
            <w:hideMark/>
          </w:tcPr>
          <w:p w:rsidR="00762EDC" w:rsidRPr="002B657C" w:rsidRDefault="00762EDC" w:rsidP="00762EDC">
            <w:pPr>
              <w:pStyle w:val="Tablehead"/>
            </w:pPr>
            <w:r w:rsidRPr="002B657C">
              <w:t>Region 2</w:t>
            </w:r>
          </w:p>
        </w:tc>
        <w:tc>
          <w:tcPr>
            <w:tcW w:w="3100" w:type="dxa"/>
            <w:tcBorders>
              <w:top w:val="single" w:sz="4" w:space="0" w:color="auto"/>
              <w:left w:val="single" w:sz="6" w:space="0" w:color="auto"/>
              <w:bottom w:val="single" w:sz="6" w:space="0" w:color="auto"/>
              <w:right w:val="single" w:sz="6" w:space="0" w:color="auto"/>
            </w:tcBorders>
            <w:hideMark/>
          </w:tcPr>
          <w:p w:rsidR="00762EDC" w:rsidRPr="002B657C" w:rsidRDefault="00762EDC" w:rsidP="00762EDC">
            <w:pPr>
              <w:pStyle w:val="Tablehead"/>
            </w:pPr>
            <w:r w:rsidRPr="002B657C">
              <w:t>Region 3</w:t>
            </w:r>
          </w:p>
        </w:tc>
      </w:tr>
      <w:tr w:rsidR="00762EDC" w:rsidTr="00762EDC">
        <w:trPr>
          <w:cantSplit/>
          <w:jc w:val="center"/>
        </w:trPr>
        <w:tc>
          <w:tcPr>
            <w:tcW w:w="3099" w:type="dxa"/>
            <w:tcBorders>
              <w:top w:val="single" w:sz="6" w:space="0" w:color="auto"/>
              <w:left w:val="single" w:sz="6" w:space="0" w:color="auto"/>
              <w:bottom w:val="nil"/>
              <w:right w:val="single" w:sz="6" w:space="0" w:color="auto"/>
            </w:tcBorders>
            <w:hideMark/>
          </w:tcPr>
          <w:p w:rsidR="00762EDC" w:rsidRPr="005279B9" w:rsidRDefault="00762EDC" w:rsidP="00762EDC">
            <w:pPr>
              <w:pStyle w:val="TableTextS5"/>
              <w:spacing w:before="30" w:after="30" w:line="220" w:lineRule="exact"/>
              <w:rPr>
                <w:rStyle w:val="Tablefreq"/>
              </w:rPr>
            </w:pPr>
            <w:r w:rsidRPr="005279B9">
              <w:rPr>
                <w:rStyle w:val="Tablefreq"/>
              </w:rPr>
              <w:t>1 690-1 700</w:t>
            </w:r>
          </w:p>
          <w:p w:rsidR="00762EDC" w:rsidRDefault="00762EDC" w:rsidP="00762EDC">
            <w:pPr>
              <w:pStyle w:val="TableTextS5"/>
              <w:spacing w:before="30" w:after="30" w:line="220" w:lineRule="exact"/>
              <w:rPr>
                <w:color w:val="000000"/>
              </w:rPr>
            </w:pPr>
            <w:r>
              <w:rPr>
                <w:color w:val="000000"/>
              </w:rPr>
              <w:t>METEOROLOGICAL AIDS</w:t>
            </w:r>
          </w:p>
          <w:p w:rsidR="00762EDC" w:rsidRDefault="00762EDC" w:rsidP="00762EDC">
            <w:pPr>
              <w:pStyle w:val="TableTextS5"/>
              <w:spacing w:before="30" w:after="30" w:line="220" w:lineRule="exact"/>
              <w:rPr>
                <w:color w:val="000000"/>
              </w:rPr>
            </w:pPr>
            <w:r>
              <w:rPr>
                <w:color w:val="000000"/>
              </w:rPr>
              <w:t>METEOROLOGICAL-SATELLITE (space-to-Earth)</w:t>
            </w:r>
          </w:p>
          <w:p w:rsidR="00762EDC" w:rsidRPr="008A2589" w:rsidRDefault="00762EDC" w:rsidP="00762EDC">
            <w:pPr>
              <w:pStyle w:val="TableTextS5"/>
              <w:spacing w:before="30" w:after="30" w:line="220" w:lineRule="exact"/>
              <w:rPr>
                <w:color w:val="000000"/>
                <w:lang w:val="fr-CH"/>
              </w:rPr>
            </w:pPr>
            <w:r w:rsidRPr="008A2589">
              <w:rPr>
                <w:color w:val="000000"/>
                <w:lang w:val="fr-CH"/>
              </w:rPr>
              <w:t>Fixed</w:t>
            </w:r>
          </w:p>
          <w:p w:rsidR="00762EDC" w:rsidRDefault="00762EDC" w:rsidP="00762EDC">
            <w:pPr>
              <w:pStyle w:val="TableTextS5"/>
              <w:spacing w:before="30" w:after="30" w:line="220" w:lineRule="exact"/>
              <w:rPr>
                <w:color w:val="000000"/>
                <w:lang w:val="fr-FR"/>
              </w:rPr>
            </w:pPr>
            <w:r>
              <w:rPr>
                <w:color w:val="000000"/>
                <w:lang w:val="fr-CH"/>
              </w:rPr>
              <w:t>Mobile except aeronautical mobile</w:t>
            </w:r>
          </w:p>
        </w:tc>
        <w:tc>
          <w:tcPr>
            <w:tcW w:w="6200" w:type="dxa"/>
            <w:gridSpan w:val="2"/>
            <w:tcBorders>
              <w:top w:val="single" w:sz="6" w:space="0" w:color="auto"/>
              <w:left w:val="single" w:sz="6" w:space="0" w:color="auto"/>
              <w:bottom w:val="nil"/>
              <w:right w:val="single" w:sz="6" w:space="0" w:color="auto"/>
            </w:tcBorders>
            <w:hideMark/>
          </w:tcPr>
          <w:p w:rsidR="00762EDC" w:rsidRPr="005279B9" w:rsidRDefault="00762EDC" w:rsidP="00762EDC">
            <w:pPr>
              <w:pStyle w:val="TableTextS5"/>
              <w:tabs>
                <w:tab w:val="clear" w:pos="170"/>
                <w:tab w:val="left" w:pos="459"/>
              </w:tabs>
              <w:spacing w:before="30" w:after="30" w:line="220" w:lineRule="exact"/>
              <w:ind w:left="567" w:hanging="567"/>
              <w:rPr>
                <w:rStyle w:val="Tablefreq"/>
              </w:rPr>
            </w:pPr>
            <w:r w:rsidRPr="005279B9">
              <w:rPr>
                <w:rStyle w:val="Tablefreq"/>
              </w:rPr>
              <w:t>1 690-1 700</w:t>
            </w:r>
          </w:p>
          <w:p w:rsidR="00762EDC" w:rsidRDefault="00762EDC" w:rsidP="00762EDC">
            <w:pPr>
              <w:pStyle w:val="TableTextS5"/>
              <w:spacing w:before="30" w:after="30" w:line="220" w:lineRule="exact"/>
              <w:rPr>
                <w:color w:val="000000"/>
              </w:rPr>
            </w:pPr>
            <w:r>
              <w:rPr>
                <w:color w:val="000000"/>
              </w:rPr>
              <w:tab/>
            </w:r>
            <w:r>
              <w:rPr>
                <w:color w:val="000000"/>
              </w:rPr>
              <w:tab/>
              <w:t>METEOROLOGICAL AIDS</w:t>
            </w:r>
          </w:p>
          <w:p w:rsidR="00762EDC" w:rsidRDefault="00762EDC" w:rsidP="00762EDC">
            <w:pPr>
              <w:pStyle w:val="TableTextS5"/>
              <w:spacing w:before="30" w:after="30" w:line="220" w:lineRule="exact"/>
              <w:rPr>
                <w:color w:val="000000"/>
              </w:rPr>
            </w:pPr>
            <w:r>
              <w:rPr>
                <w:color w:val="000000"/>
              </w:rPr>
              <w:tab/>
            </w:r>
            <w:r>
              <w:rPr>
                <w:color w:val="000000"/>
              </w:rPr>
              <w:tab/>
              <w:t>METEOROLOGICAL-SATELLITE (space-to-Earth)</w:t>
            </w:r>
          </w:p>
        </w:tc>
      </w:tr>
      <w:tr w:rsidR="00762EDC" w:rsidTr="00762EDC">
        <w:trPr>
          <w:cantSplit/>
          <w:jc w:val="center"/>
        </w:trPr>
        <w:tc>
          <w:tcPr>
            <w:tcW w:w="3099" w:type="dxa"/>
            <w:tcBorders>
              <w:top w:val="nil"/>
              <w:left w:val="single" w:sz="6" w:space="0" w:color="auto"/>
              <w:bottom w:val="single" w:sz="6" w:space="0" w:color="auto"/>
              <w:right w:val="single" w:sz="6" w:space="0" w:color="auto"/>
            </w:tcBorders>
            <w:hideMark/>
          </w:tcPr>
          <w:p w:rsidR="00762EDC" w:rsidRDefault="00D864AF" w:rsidP="00762EDC">
            <w:pPr>
              <w:pStyle w:val="TableTextS5"/>
              <w:spacing w:before="30" w:after="30" w:line="220" w:lineRule="exact"/>
              <w:rPr>
                <w:color w:val="000000"/>
                <w:lang w:val="fr-CH"/>
              </w:rPr>
            </w:pPr>
            <w:ins w:id="23" w:author="PTA" w:date="2019-04-14T23:18:00Z">
              <w:r>
                <w:rPr>
                  <w:rStyle w:val="Artref"/>
                  <w:color w:val="000000"/>
                  <w:lang w:val="fr-CH"/>
                </w:rPr>
                <w:t xml:space="preserve">MOD </w:t>
              </w:r>
            </w:ins>
            <w:r w:rsidR="00762EDC">
              <w:rPr>
                <w:rStyle w:val="Artref"/>
                <w:color w:val="000000"/>
                <w:lang w:val="fr-CH"/>
              </w:rPr>
              <w:t>5.289</w:t>
            </w:r>
            <w:r w:rsidR="00762EDC">
              <w:rPr>
                <w:color w:val="000000"/>
                <w:lang w:val="fr-CH"/>
              </w:rPr>
              <w:t xml:space="preserve">  </w:t>
            </w:r>
            <w:r w:rsidR="00762EDC">
              <w:rPr>
                <w:rStyle w:val="Artref"/>
                <w:color w:val="000000"/>
                <w:lang w:val="fr-CH"/>
              </w:rPr>
              <w:t>5.341</w:t>
            </w:r>
            <w:r w:rsidR="00762EDC">
              <w:rPr>
                <w:color w:val="000000"/>
                <w:lang w:val="fr-CH"/>
              </w:rPr>
              <w:t xml:space="preserve">  </w:t>
            </w:r>
            <w:r w:rsidR="00762EDC">
              <w:rPr>
                <w:rStyle w:val="Artref"/>
                <w:color w:val="000000"/>
                <w:lang w:val="fr-CH"/>
              </w:rPr>
              <w:t>5.382</w:t>
            </w:r>
          </w:p>
        </w:tc>
        <w:tc>
          <w:tcPr>
            <w:tcW w:w="6200" w:type="dxa"/>
            <w:gridSpan w:val="2"/>
            <w:tcBorders>
              <w:top w:val="nil"/>
              <w:left w:val="single" w:sz="6" w:space="0" w:color="auto"/>
              <w:bottom w:val="single" w:sz="6" w:space="0" w:color="auto"/>
              <w:right w:val="single" w:sz="6" w:space="0" w:color="auto"/>
            </w:tcBorders>
            <w:hideMark/>
          </w:tcPr>
          <w:p w:rsidR="00762EDC" w:rsidRDefault="00762EDC" w:rsidP="00762EDC">
            <w:pPr>
              <w:pStyle w:val="TableTextS5"/>
              <w:spacing w:before="30" w:after="30" w:line="220" w:lineRule="exact"/>
              <w:rPr>
                <w:color w:val="000000"/>
                <w:lang w:val="fr-CH"/>
              </w:rPr>
            </w:pPr>
            <w:r>
              <w:rPr>
                <w:rStyle w:val="Artref"/>
                <w:color w:val="000000"/>
                <w:lang w:val="fr-CH"/>
              </w:rPr>
              <w:tab/>
            </w:r>
            <w:r>
              <w:rPr>
                <w:rStyle w:val="Artref"/>
                <w:color w:val="000000"/>
                <w:lang w:val="fr-CH"/>
              </w:rPr>
              <w:tab/>
            </w:r>
            <w:ins w:id="24" w:author="PTA" w:date="2019-04-14T23:19:00Z">
              <w:r w:rsidR="00D864AF">
                <w:rPr>
                  <w:rStyle w:val="Artref"/>
                  <w:color w:val="000000"/>
                  <w:lang w:val="fr-CH"/>
                </w:rPr>
                <w:t xml:space="preserve">MOD </w:t>
              </w:r>
            </w:ins>
            <w:r>
              <w:rPr>
                <w:rStyle w:val="Artref"/>
                <w:color w:val="000000"/>
                <w:lang w:val="fr-CH"/>
              </w:rPr>
              <w:t>5.289</w:t>
            </w:r>
            <w:r>
              <w:rPr>
                <w:color w:val="000000"/>
                <w:lang w:val="fr-CH"/>
              </w:rPr>
              <w:t xml:space="preserve">  </w:t>
            </w:r>
            <w:r>
              <w:rPr>
                <w:rStyle w:val="Artref"/>
                <w:color w:val="000000"/>
                <w:lang w:val="fr-CH"/>
              </w:rPr>
              <w:t>5.341</w:t>
            </w:r>
            <w:r>
              <w:rPr>
                <w:color w:val="000000"/>
                <w:lang w:val="fr-CH"/>
              </w:rPr>
              <w:t xml:space="preserve">  </w:t>
            </w:r>
            <w:r>
              <w:rPr>
                <w:rStyle w:val="Artref"/>
                <w:color w:val="000000"/>
                <w:lang w:val="fr-CH"/>
              </w:rPr>
              <w:t>5.381</w:t>
            </w:r>
          </w:p>
        </w:tc>
      </w:tr>
      <w:tr w:rsidR="00762EDC" w:rsidTr="00762EDC">
        <w:trPr>
          <w:cantSplit/>
          <w:jc w:val="center"/>
        </w:trPr>
        <w:tc>
          <w:tcPr>
            <w:tcW w:w="6199" w:type="dxa"/>
            <w:gridSpan w:val="2"/>
            <w:tcBorders>
              <w:top w:val="single" w:sz="6" w:space="0" w:color="auto"/>
              <w:left w:val="single" w:sz="6" w:space="0" w:color="auto"/>
              <w:bottom w:val="nil"/>
              <w:right w:val="single" w:sz="6" w:space="0" w:color="auto"/>
            </w:tcBorders>
            <w:hideMark/>
          </w:tcPr>
          <w:p w:rsidR="00762EDC" w:rsidRPr="005279B9" w:rsidRDefault="00762EDC" w:rsidP="00762EDC">
            <w:pPr>
              <w:pStyle w:val="TableTextS5"/>
              <w:spacing w:before="30" w:after="30" w:line="220" w:lineRule="exact"/>
              <w:rPr>
                <w:rStyle w:val="Tablefreq"/>
              </w:rPr>
            </w:pPr>
            <w:r w:rsidRPr="005279B9">
              <w:rPr>
                <w:rStyle w:val="Tablefreq"/>
              </w:rPr>
              <w:t>1 700-1 710</w:t>
            </w:r>
          </w:p>
          <w:p w:rsidR="00762EDC" w:rsidRDefault="00762EDC" w:rsidP="00762EDC">
            <w:pPr>
              <w:pStyle w:val="TableTextS5"/>
              <w:spacing w:before="30" w:after="30" w:line="220" w:lineRule="exact"/>
              <w:rPr>
                <w:color w:val="000000"/>
              </w:rPr>
            </w:pPr>
            <w:r>
              <w:rPr>
                <w:color w:val="000000"/>
              </w:rPr>
              <w:tab/>
            </w:r>
            <w:r>
              <w:rPr>
                <w:color w:val="000000"/>
              </w:rPr>
              <w:tab/>
              <w:t>FIXED</w:t>
            </w:r>
          </w:p>
          <w:p w:rsidR="00762EDC" w:rsidRDefault="00762EDC" w:rsidP="00762EDC">
            <w:pPr>
              <w:pStyle w:val="TableTextS5"/>
              <w:spacing w:before="30" w:after="30" w:line="220" w:lineRule="exact"/>
              <w:rPr>
                <w:color w:val="000000"/>
              </w:rPr>
            </w:pPr>
            <w:r>
              <w:rPr>
                <w:color w:val="000000"/>
              </w:rPr>
              <w:tab/>
            </w:r>
            <w:r>
              <w:rPr>
                <w:color w:val="000000"/>
              </w:rPr>
              <w:tab/>
              <w:t>METEOROLOGICAL-SATELLITE (space-to-Earth)</w:t>
            </w:r>
          </w:p>
          <w:p w:rsidR="00762EDC" w:rsidRPr="00C5032B" w:rsidRDefault="00762EDC" w:rsidP="00762EDC">
            <w:pPr>
              <w:pStyle w:val="TableTextS5"/>
              <w:spacing w:before="30" w:after="30" w:line="220" w:lineRule="exact"/>
              <w:rPr>
                <w:color w:val="000000"/>
              </w:rPr>
            </w:pPr>
            <w:r>
              <w:rPr>
                <w:color w:val="000000"/>
              </w:rPr>
              <w:tab/>
            </w:r>
            <w:r>
              <w:rPr>
                <w:color w:val="000000"/>
              </w:rPr>
              <w:tab/>
              <w:t>MOBILE except aeronautical mobile</w:t>
            </w:r>
          </w:p>
        </w:tc>
        <w:tc>
          <w:tcPr>
            <w:tcW w:w="3100" w:type="dxa"/>
            <w:tcBorders>
              <w:top w:val="single" w:sz="6" w:space="0" w:color="auto"/>
              <w:left w:val="single" w:sz="6" w:space="0" w:color="auto"/>
              <w:bottom w:val="nil"/>
              <w:right w:val="single" w:sz="6" w:space="0" w:color="auto"/>
            </w:tcBorders>
            <w:hideMark/>
          </w:tcPr>
          <w:p w:rsidR="00762EDC" w:rsidRPr="005279B9" w:rsidRDefault="00762EDC" w:rsidP="00762EDC">
            <w:pPr>
              <w:pStyle w:val="TableTextS5"/>
              <w:spacing w:before="30" w:after="30" w:line="220" w:lineRule="exact"/>
              <w:rPr>
                <w:rStyle w:val="Tablefreq"/>
              </w:rPr>
            </w:pPr>
            <w:r w:rsidRPr="005279B9">
              <w:rPr>
                <w:rStyle w:val="Tablefreq"/>
              </w:rPr>
              <w:t>1 700-1 710</w:t>
            </w:r>
          </w:p>
          <w:p w:rsidR="00762EDC" w:rsidRDefault="00762EDC" w:rsidP="00762EDC">
            <w:pPr>
              <w:pStyle w:val="TableTextS5"/>
              <w:spacing w:before="30" w:after="30" w:line="220" w:lineRule="exact"/>
              <w:rPr>
                <w:color w:val="000000"/>
              </w:rPr>
            </w:pPr>
            <w:r>
              <w:rPr>
                <w:color w:val="000000"/>
              </w:rPr>
              <w:t>FIXED</w:t>
            </w:r>
          </w:p>
          <w:p w:rsidR="00762EDC" w:rsidRDefault="00762EDC" w:rsidP="00762EDC">
            <w:pPr>
              <w:pStyle w:val="TableTextS5"/>
              <w:spacing w:before="30" w:after="30" w:line="220" w:lineRule="exact"/>
              <w:rPr>
                <w:color w:val="000000"/>
              </w:rPr>
            </w:pPr>
            <w:r>
              <w:rPr>
                <w:color w:val="000000"/>
              </w:rPr>
              <w:t>METEOROLOGICAL-SATELLITE (space-to-Earth)</w:t>
            </w:r>
          </w:p>
          <w:p w:rsidR="00762EDC" w:rsidRDefault="00762EDC" w:rsidP="00762EDC">
            <w:pPr>
              <w:pStyle w:val="TableTextS5"/>
              <w:spacing w:before="30" w:after="30" w:line="220" w:lineRule="exact"/>
              <w:rPr>
                <w:color w:val="000000"/>
                <w:lang w:val="fr-FR"/>
              </w:rPr>
            </w:pPr>
            <w:r>
              <w:rPr>
                <w:color w:val="000000"/>
              </w:rPr>
              <w:t>MOBILE except aeronautical mobile</w:t>
            </w:r>
          </w:p>
        </w:tc>
      </w:tr>
      <w:tr w:rsidR="00762EDC" w:rsidTr="00762EDC">
        <w:trPr>
          <w:cantSplit/>
          <w:jc w:val="center"/>
        </w:trPr>
        <w:tc>
          <w:tcPr>
            <w:tcW w:w="6199" w:type="dxa"/>
            <w:gridSpan w:val="2"/>
            <w:tcBorders>
              <w:top w:val="nil"/>
              <w:left w:val="single" w:sz="6" w:space="0" w:color="auto"/>
              <w:bottom w:val="single" w:sz="6" w:space="0" w:color="auto"/>
              <w:right w:val="single" w:sz="6" w:space="0" w:color="auto"/>
            </w:tcBorders>
            <w:hideMark/>
          </w:tcPr>
          <w:p w:rsidR="00762EDC" w:rsidRDefault="00762EDC" w:rsidP="00762EDC">
            <w:pPr>
              <w:pStyle w:val="TableTextS5"/>
              <w:spacing w:before="30" w:after="30" w:line="220" w:lineRule="exact"/>
              <w:rPr>
                <w:color w:val="000000"/>
                <w:lang w:val="fr-CH"/>
              </w:rPr>
            </w:pPr>
            <w:r>
              <w:rPr>
                <w:rStyle w:val="Artref"/>
                <w:color w:val="000000"/>
                <w:lang w:val="fr-CH"/>
              </w:rPr>
              <w:tab/>
            </w:r>
            <w:r>
              <w:rPr>
                <w:rStyle w:val="Artref"/>
                <w:color w:val="000000"/>
                <w:lang w:val="fr-CH"/>
              </w:rPr>
              <w:tab/>
            </w:r>
            <w:ins w:id="25" w:author="PTA" w:date="2019-04-14T23:19:00Z">
              <w:r w:rsidR="00D864AF">
                <w:rPr>
                  <w:rStyle w:val="Artref"/>
                  <w:color w:val="000000"/>
                  <w:lang w:val="fr-CH"/>
                </w:rPr>
                <w:t xml:space="preserve">MOD </w:t>
              </w:r>
            </w:ins>
            <w:r>
              <w:rPr>
                <w:rStyle w:val="Artref"/>
                <w:color w:val="000000"/>
                <w:lang w:val="fr-CH"/>
              </w:rPr>
              <w:t>5.289</w:t>
            </w:r>
            <w:r>
              <w:rPr>
                <w:color w:val="000000"/>
                <w:lang w:val="fr-CH"/>
              </w:rPr>
              <w:t xml:space="preserve">  </w:t>
            </w:r>
            <w:r>
              <w:rPr>
                <w:rStyle w:val="Artref"/>
                <w:color w:val="000000"/>
                <w:lang w:val="fr-CH"/>
              </w:rPr>
              <w:t>5.341</w:t>
            </w:r>
          </w:p>
        </w:tc>
        <w:tc>
          <w:tcPr>
            <w:tcW w:w="3100" w:type="dxa"/>
            <w:tcBorders>
              <w:top w:val="nil"/>
              <w:left w:val="single" w:sz="6" w:space="0" w:color="auto"/>
              <w:bottom w:val="single" w:sz="6" w:space="0" w:color="auto"/>
              <w:right w:val="single" w:sz="6" w:space="0" w:color="auto"/>
            </w:tcBorders>
            <w:hideMark/>
          </w:tcPr>
          <w:p w:rsidR="00762EDC" w:rsidRDefault="00D864AF" w:rsidP="00762EDC">
            <w:pPr>
              <w:pStyle w:val="TableTextS5"/>
              <w:spacing w:before="30" w:after="30" w:line="220" w:lineRule="exact"/>
              <w:rPr>
                <w:color w:val="000000"/>
                <w:lang w:val="fr-CH"/>
              </w:rPr>
            </w:pPr>
            <w:ins w:id="26" w:author="PTA" w:date="2019-04-14T23:19:00Z">
              <w:r>
                <w:rPr>
                  <w:rStyle w:val="Artref"/>
                  <w:color w:val="000000"/>
                  <w:lang w:val="fr-CH"/>
                </w:rPr>
                <w:t xml:space="preserve">MOD </w:t>
              </w:r>
            </w:ins>
            <w:r w:rsidR="00762EDC">
              <w:rPr>
                <w:rStyle w:val="Artref"/>
                <w:color w:val="000000"/>
                <w:lang w:val="fr-CH"/>
              </w:rPr>
              <w:t>5.289</w:t>
            </w:r>
            <w:r w:rsidR="00762EDC">
              <w:rPr>
                <w:color w:val="000000"/>
                <w:lang w:val="fr-CH"/>
              </w:rPr>
              <w:t xml:space="preserve">  </w:t>
            </w:r>
            <w:r w:rsidR="00762EDC">
              <w:rPr>
                <w:rStyle w:val="Artref"/>
                <w:color w:val="000000"/>
                <w:lang w:val="fr-CH"/>
              </w:rPr>
              <w:t>5.341</w:t>
            </w:r>
            <w:r w:rsidR="00762EDC">
              <w:rPr>
                <w:color w:val="000000"/>
                <w:lang w:val="fr-CH"/>
              </w:rPr>
              <w:t xml:space="preserve">  </w:t>
            </w:r>
            <w:r w:rsidR="00762EDC">
              <w:rPr>
                <w:rStyle w:val="Artref"/>
                <w:color w:val="000000"/>
                <w:lang w:val="fr-CH"/>
              </w:rPr>
              <w:t>5.384</w:t>
            </w:r>
          </w:p>
        </w:tc>
      </w:tr>
    </w:tbl>
    <w:p w:rsidR="00762EDC" w:rsidRDefault="00762EDC" w:rsidP="00762EDC">
      <w:pPr>
        <w:pStyle w:val="Reasons"/>
      </w:pPr>
    </w:p>
    <w:p w:rsidR="00482BE0" w:rsidRDefault="00762EDC">
      <w:pPr>
        <w:pStyle w:val="Proposal"/>
      </w:pPr>
      <w:r>
        <w:t>MOD</w:t>
      </w:r>
      <w:r>
        <w:tab/>
        <w:t>EUR/</w:t>
      </w:r>
      <w:r w:rsidR="00D864AF">
        <w:t>XXXX</w:t>
      </w:r>
      <w:r>
        <w:t>A3/3</w:t>
      </w:r>
    </w:p>
    <w:p w:rsidR="00762EDC" w:rsidRDefault="00762EDC" w:rsidP="00762EDC">
      <w:pPr>
        <w:pStyle w:val="Note"/>
        <w:rPr>
          <w:lang w:val="en-AU"/>
        </w:rPr>
      </w:pPr>
      <w:r w:rsidRPr="00815816">
        <w:rPr>
          <w:rStyle w:val="Artdef"/>
        </w:rPr>
        <w:t>5.289</w:t>
      </w:r>
      <w:r w:rsidRPr="00815816">
        <w:rPr>
          <w:rStyle w:val="Artdef"/>
        </w:rPr>
        <w:tab/>
      </w:r>
      <w:r>
        <w:rPr>
          <w:lang w:val="en-AU"/>
        </w:rPr>
        <w:t xml:space="preserve">Earth exploration-satellite service applications, other than the meteorological-satellite service, may also be used in the </w:t>
      </w:r>
      <w:ins w:id="27" w:author="PTA" w:date="2019-04-14T23:20:00Z">
        <w:r w:rsidR="00D864AF">
          <w:rPr>
            <w:lang w:val="en-AU"/>
          </w:rPr>
          <w:t xml:space="preserve">frequency </w:t>
        </w:r>
      </w:ins>
      <w:r>
        <w:rPr>
          <w:lang w:val="en-AU"/>
        </w:rPr>
        <w:t>band</w:t>
      </w:r>
      <w:del w:id="28" w:author="PTA" w:date="2019-04-14T23:20:00Z">
        <w:r w:rsidDel="00D864AF">
          <w:rPr>
            <w:lang w:val="en-AU"/>
          </w:rPr>
          <w:delText>s 460-470 MHz and</w:delText>
        </w:r>
      </w:del>
      <w:r>
        <w:rPr>
          <w:lang w:val="en-AU"/>
        </w:rPr>
        <w:t xml:space="preserve"> 1</w:t>
      </w:r>
      <w:r w:rsidRPr="007162B5">
        <w:t> </w:t>
      </w:r>
      <w:r>
        <w:rPr>
          <w:lang w:val="en-AU"/>
        </w:rPr>
        <w:t>690-1</w:t>
      </w:r>
      <w:r w:rsidRPr="007162B5">
        <w:t> </w:t>
      </w:r>
      <w:r>
        <w:rPr>
          <w:lang w:val="en-AU"/>
        </w:rPr>
        <w:t>710 MHz for space-to-Earth transmissions subject to not causing harmful interference to stations operating in accordance with the Table.</w:t>
      </w:r>
      <w:ins w:id="29" w:author="Author">
        <w:r w:rsidR="00D864AF" w:rsidRPr="00125F93">
          <w:rPr>
            <w:sz w:val="16"/>
          </w:rPr>
          <w:t xml:space="preserve">     (WRC</w:t>
        </w:r>
        <w:r w:rsidR="00D864AF" w:rsidRPr="00125F93">
          <w:rPr>
            <w:sz w:val="16"/>
          </w:rPr>
          <w:noBreakHyphen/>
          <w:t>19)</w:t>
        </w:r>
      </w:ins>
    </w:p>
    <w:p w:rsidR="00482BE0" w:rsidRDefault="00762EDC">
      <w:pPr>
        <w:pStyle w:val="Reasons"/>
      </w:pPr>
      <w:r>
        <w:rPr>
          <w:b/>
        </w:rPr>
        <w:t>Reasons:</w:t>
      </w:r>
      <w:r>
        <w:tab/>
      </w:r>
      <w:r w:rsidR="00D864AF" w:rsidRPr="00D864AF">
        <w:t>Due to the new primary status of EESS and MetSat service, the reference to the frequency band 460-470 MHz is no longer needed in this footnote.</w:t>
      </w:r>
    </w:p>
    <w:p w:rsidR="00482BE0" w:rsidRDefault="00762EDC">
      <w:pPr>
        <w:pStyle w:val="Proposal"/>
      </w:pPr>
      <w:r>
        <w:lastRenderedPageBreak/>
        <w:t>SUP</w:t>
      </w:r>
      <w:r>
        <w:tab/>
        <w:t>EUR/</w:t>
      </w:r>
      <w:r w:rsidR="00D864AF">
        <w:t>XXXX</w:t>
      </w:r>
      <w:r>
        <w:t>A3/4</w:t>
      </w:r>
    </w:p>
    <w:p w:rsidR="00762EDC" w:rsidRPr="004046E7" w:rsidRDefault="00762EDC" w:rsidP="00762EDC">
      <w:pPr>
        <w:pStyle w:val="Note"/>
      </w:pPr>
      <w:r w:rsidRPr="004046E7">
        <w:rPr>
          <w:rStyle w:val="Artdef"/>
        </w:rPr>
        <w:t>5.290</w:t>
      </w:r>
      <w:r w:rsidRPr="004046E7">
        <w:rPr>
          <w:rStyle w:val="Artdef"/>
        </w:rPr>
        <w:tab/>
      </w:r>
      <w:r w:rsidRPr="003D719D">
        <w:rPr>
          <w:i/>
          <w:iCs/>
        </w:rPr>
        <w:t>Different category of service: </w:t>
      </w:r>
      <w:r w:rsidRPr="006B6C62">
        <w:t> </w:t>
      </w:r>
      <w:r w:rsidRPr="004046E7">
        <w:t>in Afghanistan, Azerbaijan, Belarus, China, the Russian Federation, Japan, Kyrgyzstan, Tajikistan and Turkmenistan, the allocation of the band 460-470</w:t>
      </w:r>
      <w:r>
        <w:t> MHz</w:t>
      </w:r>
      <w:r w:rsidRPr="004046E7">
        <w:t xml:space="preserve"> to the meteorological-satellite service (space-to-Earth) is on a primary basis (see No. </w:t>
      </w:r>
      <w:r w:rsidRPr="004046E7">
        <w:rPr>
          <w:b/>
          <w:bCs/>
        </w:rPr>
        <w:t>5.33</w:t>
      </w:r>
      <w:r w:rsidRPr="004046E7">
        <w:t>), subject to agreement obtained under No. </w:t>
      </w:r>
      <w:r w:rsidRPr="004046E7">
        <w:rPr>
          <w:b/>
          <w:bCs/>
        </w:rPr>
        <w:t>9.21</w:t>
      </w:r>
      <w:r w:rsidRPr="004046E7">
        <w:t>.</w:t>
      </w:r>
      <w:r>
        <w:rPr>
          <w:sz w:val="16"/>
        </w:rPr>
        <w:t>  </w:t>
      </w:r>
      <w:r w:rsidRPr="004046E7">
        <w:rPr>
          <w:sz w:val="16"/>
        </w:rPr>
        <w:t>  (</w:t>
      </w:r>
      <w:r>
        <w:rPr>
          <w:sz w:val="16"/>
        </w:rPr>
        <w:t>WRC</w:t>
      </w:r>
      <w:r>
        <w:rPr>
          <w:sz w:val="16"/>
        </w:rPr>
        <w:noBreakHyphen/>
      </w:r>
      <w:r w:rsidRPr="004046E7">
        <w:rPr>
          <w:sz w:val="16"/>
        </w:rPr>
        <w:t>12)</w:t>
      </w:r>
    </w:p>
    <w:p w:rsidR="00482BE0" w:rsidRDefault="00762EDC">
      <w:pPr>
        <w:pStyle w:val="Reasons"/>
      </w:pPr>
      <w:r>
        <w:rPr>
          <w:b/>
        </w:rPr>
        <w:t>Reasons:</w:t>
      </w:r>
      <w:r>
        <w:tab/>
      </w:r>
      <w:r w:rsidR="00D864AF" w:rsidRPr="00D864AF">
        <w:t xml:space="preserve">To reflect the implications of the upgrade from secondary to primary: since the frequency band 460-470 MHz has been upgraded from secondary to primary for MetSat service (space-to-Earth) and EESS (space-to-Earth), there is no need to keep a reference to No. </w:t>
      </w:r>
      <w:r w:rsidR="00D864AF" w:rsidRPr="00D864AF">
        <w:rPr>
          <w:b/>
        </w:rPr>
        <w:t>9.21</w:t>
      </w:r>
      <w:r w:rsidR="00D864AF" w:rsidRPr="00D864AF">
        <w:t xml:space="preserve">, and footnote No. </w:t>
      </w:r>
      <w:r w:rsidR="00D864AF" w:rsidRPr="00D864AF">
        <w:rPr>
          <w:b/>
        </w:rPr>
        <w:t>5.290</w:t>
      </w:r>
      <w:r w:rsidR="00D864AF" w:rsidRPr="00D864AF">
        <w:t xml:space="preserve"> is deleted.</w:t>
      </w:r>
    </w:p>
    <w:p w:rsidR="00D864AF" w:rsidRDefault="00D864AF" w:rsidP="00D864AF">
      <w:pPr>
        <w:pStyle w:val="Proposal"/>
      </w:pPr>
      <w:bookmarkStart w:id="30" w:name="_Toc454787412"/>
      <w:r>
        <w:t>ADD</w:t>
      </w:r>
      <w:r>
        <w:tab/>
        <w:t>EUR/XXXXA3/5</w:t>
      </w:r>
    </w:p>
    <w:p w:rsidR="00D864AF" w:rsidRDefault="00D864AF">
      <w:r w:rsidRPr="005211CA">
        <w:rPr>
          <w:rStyle w:val="Artdef"/>
        </w:rPr>
        <w:t>5.</w:t>
      </w:r>
      <w:r w:rsidR="00936E20" w:rsidRPr="005211CA">
        <w:rPr>
          <w:rStyle w:val="Artdef"/>
        </w:rPr>
        <w:t>A</w:t>
      </w:r>
      <w:r w:rsidRPr="005211CA">
        <w:rPr>
          <w:rStyle w:val="Artdef"/>
        </w:rPr>
        <w:t>13</w:t>
      </w:r>
      <w:r w:rsidRPr="005211CA">
        <w:tab/>
        <w:t xml:space="preserve">In the frequency band 460-470 MHz, </w:t>
      </w:r>
      <w:r w:rsidRPr="005211CA">
        <w:rPr>
          <w:szCs w:val="14"/>
          <w:lang w:val="en-US"/>
        </w:rPr>
        <w:t xml:space="preserve">Resolution </w:t>
      </w:r>
      <w:r w:rsidRPr="005211CA">
        <w:rPr>
          <w:b/>
          <w:szCs w:val="14"/>
          <w:lang w:val="en-US"/>
        </w:rPr>
        <w:t>[EUR-</w:t>
      </w:r>
      <w:r w:rsidR="00936E20" w:rsidRPr="005211CA">
        <w:rPr>
          <w:b/>
          <w:szCs w:val="14"/>
          <w:lang w:val="en-US"/>
        </w:rPr>
        <w:t>A</w:t>
      </w:r>
      <w:r w:rsidRPr="005211CA">
        <w:rPr>
          <w:b/>
          <w:szCs w:val="14"/>
          <w:lang w:val="en-US"/>
        </w:rPr>
        <w:t>13] (WRC-19)</w:t>
      </w:r>
      <w:r w:rsidRPr="005211CA">
        <w:rPr>
          <w:szCs w:val="14"/>
          <w:lang w:val="en-US"/>
        </w:rPr>
        <w:t xml:space="preserve"> shall apply.</w:t>
      </w:r>
      <w:r w:rsidRPr="005211CA">
        <w:t>     </w:t>
      </w:r>
      <w:r w:rsidRPr="005211CA">
        <w:rPr>
          <w:sz w:val="16"/>
          <w:szCs w:val="16"/>
          <w:lang w:eastAsia="ja-JP"/>
        </w:rPr>
        <w:t>(WRC-19</w:t>
      </w:r>
      <w:r w:rsidR="005A2A9A">
        <w:rPr>
          <w:sz w:val="16"/>
          <w:szCs w:val="16"/>
          <w:lang w:eastAsia="ja-JP"/>
        </w:rPr>
        <w:t>)</w:t>
      </w:r>
    </w:p>
    <w:p w:rsidR="00D864AF" w:rsidRPr="005A2A9A" w:rsidRDefault="00D864AF" w:rsidP="005A2A9A">
      <w:pPr>
        <w:pStyle w:val="Reasons"/>
        <w:rPr>
          <w:b/>
          <w:bCs/>
        </w:rPr>
      </w:pPr>
      <w:r w:rsidRPr="005A2A9A">
        <w:rPr>
          <w:b/>
          <w:bCs/>
        </w:rPr>
        <w:t>Reasons:</w:t>
      </w:r>
      <w:r w:rsidRPr="005A2A9A">
        <w:rPr>
          <w:b/>
          <w:bCs/>
        </w:rPr>
        <w:tab/>
      </w:r>
      <w:r w:rsidRPr="005A2A9A">
        <w:rPr>
          <w:bCs/>
        </w:rPr>
        <w:t>The Resolution includes the regulatory measures to protect the fixed and mobile services, the regulatory measure to assure priority of MetSat service over EESS and the grandfathering measures for existing data collection systems.</w:t>
      </w:r>
      <w:r w:rsidRPr="005A2A9A">
        <w:rPr>
          <w:b/>
          <w:bCs/>
        </w:rPr>
        <w:br w:type="page"/>
      </w:r>
    </w:p>
    <w:p w:rsidR="00762EDC" w:rsidRPr="00F5119C" w:rsidRDefault="00762EDC" w:rsidP="00762EDC">
      <w:pPr>
        <w:pStyle w:val="AppendixNo"/>
        <w:spacing w:before="0"/>
      </w:pPr>
      <w:r w:rsidRPr="00F5119C">
        <w:lastRenderedPageBreak/>
        <w:t>APPENDIX </w:t>
      </w:r>
      <w:r w:rsidRPr="00494285">
        <w:rPr>
          <w:rStyle w:val="href"/>
        </w:rPr>
        <w:t>7</w:t>
      </w:r>
      <w:r w:rsidRPr="00F5119C">
        <w:t xml:space="preserve"> (</w:t>
      </w:r>
      <w:r w:rsidRPr="00354DCE">
        <w:t>REV.</w:t>
      </w:r>
      <w:r>
        <w:t>WRC</w:t>
      </w:r>
      <w:r>
        <w:noBreakHyphen/>
      </w:r>
      <w:r w:rsidRPr="00F5119C">
        <w:t>1</w:t>
      </w:r>
      <w:r>
        <w:t>5</w:t>
      </w:r>
      <w:r w:rsidRPr="00F5119C">
        <w:t>)</w:t>
      </w:r>
      <w:bookmarkEnd w:id="30"/>
    </w:p>
    <w:p w:rsidR="00762EDC" w:rsidRPr="00F5119C" w:rsidRDefault="00762EDC" w:rsidP="00762EDC">
      <w:pPr>
        <w:pStyle w:val="Appendixtitle"/>
      </w:pPr>
      <w:bookmarkStart w:id="31" w:name="_Toc328648898"/>
      <w:bookmarkStart w:id="32" w:name="_Toc454787413"/>
      <w:r w:rsidRPr="00F5119C">
        <w:t>Methods for the determination of the coordination area around an earth</w:t>
      </w:r>
      <w:r w:rsidRPr="00F5119C">
        <w:br/>
        <w:t>station in frequency bands between 100</w:t>
      </w:r>
      <w:r>
        <w:t> MHz</w:t>
      </w:r>
      <w:r w:rsidRPr="00F5119C">
        <w:t xml:space="preserve"> and 105</w:t>
      </w:r>
      <w:r>
        <w:t> GHz</w:t>
      </w:r>
      <w:bookmarkEnd w:id="31"/>
      <w:bookmarkEnd w:id="32"/>
    </w:p>
    <w:p w:rsidR="00762EDC" w:rsidRDefault="00762EDC" w:rsidP="00762EDC">
      <w:pPr>
        <w:pStyle w:val="AnnexNo"/>
      </w:pPr>
      <w:r w:rsidRPr="00DD06B7">
        <w:t>ANNEX</w:t>
      </w:r>
      <w:r>
        <w:t xml:space="preserve"> 7</w:t>
      </w:r>
    </w:p>
    <w:p w:rsidR="00762EDC" w:rsidRDefault="00762EDC" w:rsidP="00762EDC">
      <w:pPr>
        <w:pStyle w:val="Annextitle"/>
      </w:pPr>
      <w:bookmarkStart w:id="33" w:name="_Toc328648912"/>
      <w:bookmarkStart w:id="34" w:name="_Toc454787427"/>
      <w:r>
        <w:t xml:space="preserve">System parameters and predetermined coordination distances for </w:t>
      </w:r>
      <w:r w:rsidRPr="00DD06B7">
        <w:t>determination</w:t>
      </w:r>
      <w:r>
        <w:t xml:space="preserve"> of the coordination area around an earth station</w:t>
      </w:r>
      <w:bookmarkEnd w:id="33"/>
      <w:bookmarkEnd w:id="34"/>
    </w:p>
    <w:p w:rsidR="00762EDC" w:rsidRDefault="00762EDC" w:rsidP="00762EDC">
      <w:pPr>
        <w:pStyle w:val="Heading1"/>
      </w:pPr>
      <w:bookmarkStart w:id="35" w:name="_Toc328648635"/>
      <w:r>
        <w:t>3</w:t>
      </w:r>
      <w:r>
        <w:tab/>
        <w:t>Horizon antenna gain for a receiving earth station with respect to a transmitting earth station</w:t>
      </w:r>
      <w:bookmarkEnd w:id="35"/>
    </w:p>
    <w:p w:rsidR="00482BE0" w:rsidRDefault="00482BE0">
      <w:pPr>
        <w:sectPr w:rsidR="00482BE0">
          <w:headerReference w:type="default" r:id="rId14"/>
          <w:footerReference w:type="even" r:id="rId15"/>
          <w:footerReference w:type="default" r:id="rId16"/>
          <w:headerReference w:type="first" r:id="rId17"/>
          <w:footerReference w:type="first" r:id="rId18"/>
          <w:type w:val="continuous"/>
          <w:pgSz w:w="11907" w:h="16840" w:code="9"/>
          <w:pgMar w:top="1418" w:right="1134" w:bottom="1134" w:left="1134" w:header="567" w:footer="567" w:gutter="0"/>
          <w:cols w:space="720"/>
          <w:titlePg/>
          <w:docGrid w:linePitch="326"/>
        </w:sectPr>
      </w:pPr>
    </w:p>
    <w:p w:rsidR="00D864AF" w:rsidRPr="00125F93" w:rsidRDefault="00D864AF" w:rsidP="00D864AF">
      <w:pPr>
        <w:pStyle w:val="Proposal"/>
      </w:pPr>
      <w:r w:rsidRPr="00000C1F">
        <w:lastRenderedPageBreak/>
        <w:t>MOD</w:t>
      </w:r>
      <w:r w:rsidRPr="00000C1F">
        <w:tab/>
        <w:t>EUR/XXXA3/6</w:t>
      </w:r>
    </w:p>
    <w:p w:rsidR="00D864AF" w:rsidRDefault="00D864AF" w:rsidP="00D864AF">
      <w:pPr>
        <w:keepNext/>
        <w:spacing w:before="0" w:after="120"/>
        <w:jc w:val="center"/>
        <w:rPr>
          <w:caps/>
          <w:sz w:val="16"/>
          <w:szCs w:val="16"/>
        </w:rPr>
      </w:pPr>
      <w:r w:rsidRPr="00125F93">
        <w:rPr>
          <w:caps/>
        </w:rPr>
        <w:t>TABLE 8</w:t>
      </w:r>
      <w:r w:rsidRPr="00125F93">
        <w:t>a</w:t>
      </w:r>
      <w:r w:rsidRPr="00125F93">
        <w:rPr>
          <w:caps/>
          <w:sz w:val="16"/>
        </w:rPr>
        <w:t>     (</w:t>
      </w:r>
      <w:r w:rsidRPr="00125F93">
        <w:rPr>
          <w:sz w:val="16"/>
          <w:szCs w:val="16"/>
        </w:rPr>
        <w:t>Rev</w:t>
      </w:r>
      <w:r w:rsidRPr="00125F93">
        <w:rPr>
          <w:caps/>
          <w:sz w:val="16"/>
          <w:szCs w:val="16"/>
        </w:rPr>
        <w:t>.WRC</w:t>
      </w:r>
      <w:r w:rsidRPr="00125F93">
        <w:rPr>
          <w:caps/>
          <w:sz w:val="16"/>
          <w:szCs w:val="16"/>
        </w:rPr>
        <w:noBreakHyphen/>
        <w:t>1</w:t>
      </w:r>
      <w:del w:id="36" w:author="Author">
        <w:r w:rsidRPr="00125F93" w:rsidDel="00876D1F">
          <w:rPr>
            <w:caps/>
            <w:sz w:val="16"/>
            <w:szCs w:val="16"/>
          </w:rPr>
          <w:delText>2</w:delText>
        </w:r>
      </w:del>
      <w:ins w:id="37" w:author="Author">
        <w:r w:rsidRPr="00125F93">
          <w:rPr>
            <w:caps/>
            <w:sz w:val="16"/>
            <w:szCs w:val="16"/>
          </w:rPr>
          <w:t>9</w:t>
        </w:r>
      </w:ins>
      <w:r w:rsidRPr="00125F93">
        <w:rPr>
          <w:caps/>
          <w:sz w:val="16"/>
          <w:szCs w:val="16"/>
        </w:rPr>
        <w:t>)</w:t>
      </w:r>
    </w:p>
    <w:p w:rsidR="00D864AF" w:rsidRPr="00125F93" w:rsidRDefault="00D864AF" w:rsidP="00D864AF">
      <w:pPr>
        <w:keepNext/>
        <w:spacing w:before="0" w:after="120"/>
        <w:jc w:val="center"/>
        <w:rPr>
          <w:b/>
        </w:rPr>
      </w:pPr>
      <w:r w:rsidRPr="00125F93">
        <w:rPr>
          <w:b/>
        </w:rPr>
        <w:t>Parameters required for the determination of coordination distance for a receiving earth station</w:t>
      </w:r>
    </w:p>
    <w:tbl>
      <w:tblPr>
        <w:tblW w:w="14459" w:type="dxa"/>
        <w:jc w:val="center"/>
        <w:tblLayout w:type="fixed"/>
        <w:tblCellMar>
          <w:left w:w="0" w:type="dxa"/>
          <w:right w:w="0" w:type="dxa"/>
        </w:tblCellMar>
        <w:tblLook w:val="0000" w:firstRow="0" w:lastRow="0" w:firstColumn="0" w:lastColumn="0" w:noHBand="0" w:noVBand="0"/>
      </w:tblPr>
      <w:tblGrid>
        <w:gridCol w:w="1373"/>
        <w:gridCol w:w="1032"/>
        <w:gridCol w:w="299"/>
        <w:gridCol w:w="862"/>
        <w:gridCol w:w="7"/>
        <w:gridCol w:w="730"/>
        <w:gridCol w:w="643"/>
        <w:gridCol w:w="688"/>
        <w:gridCol w:w="688"/>
        <w:gridCol w:w="690"/>
        <w:gridCol w:w="827"/>
        <w:gridCol w:w="744"/>
        <w:gridCol w:w="767"/>
        <w:gridCol w:w="824"/>
        <w:gridCol w:w="823"/>
        <w:gridCol w:w="688"/>
        <w:gridCol w:w="823"/>
        <w:gridCol w:w="961"/>
        <w:gridCol w:w="959"/>
        <w:gridCol w:w="31"/>
      </w:tblGrid>
      <w:tr w:rsidR="00D864AF" w:rsidRPr="00F65EF7" w:rsidTr="00415337">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rsidR="00D864AF" w:rsidRPr="00125F93" w:rsidRDefault="00D864AF" w:rsidP="00415337">
            <w:pPr>
              <w:keepNext/>
              <w:spacing w:before="80" w:after="80"/>
              <w:jc w:val="center"/>
              <w:rPr>
                <w:rFonts w:ascii="Times New Roman Bold" w:hAnsi="Times New Roman Bold" w:cs="Times New Roman Bold"/>
                <w:b/>
                <w:sz w:val="14"/>
                <w:szCs w:val="14"/>
              </w:rPr>
            </w:pPr>
            <w:r w:rsidRPr="00125F93">
              <w:rPr>
                <w:rFonts w:ascii="Times New Roman Bold" w:hAnsi="Times New Roman Bold" w:cs="Times New Roman Bold"/>
                <w:b/>
                <w:sz w:val="14"/>
                <w:szCs w:val="14"/>
              </w:rPr>
              <w:t>Receiving space</w:t>
            </w:r>
            <w:r w:rsidRPr="00125F93">
              <w:rPr>
                <w:rFonts w:ascii="Times New Roman Bold" w:hAnsi="Times New Roman Bold" w:cs="Times New Roman Bold"/>
                <w:b/>
                <w:sz w:val="14"/>
                <w:szCs w:val="14"/>
              </w:rPr>
              <w:br/>
              <w:t>radiocommunication</w:t>
            </w:r>
            <w:r w:rsidRPr="00125F93">
              <w:rPr>
                <w:rFonts w:ascii="Times New Roman Bold" w:hAnsi="Times New Roman Bold" w:cs="Times New Roman Bold"/>
                <w:b/>
                <w:sz w:val="14"/>
                <w:szCs w:val="14"/>
              </w:rPr>
              <w:br/>
              <w:t>service designation</w:t>
            </w:r>
          </w:p>
        </w:tc>
        <w:tc>
          <w:tcPr>
            <w:tcW w:w="862"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keepNext/>
              <w:spacing w:before="80" w:after="80"/>
              <w:jc w:val="center"/>
              <w:rPr>
                <w:rFonts w:ascii="Times New Roman Bold" w:hAnsi="Times New Roman Bold" w:cs="Times New Roman Bold"/>
                <w:b/>
                <w:sz w:val="14"/>
                <w:szCs w:val="14"/>
              </w:rPr>
            </w:pPr>
            <w:r w:rsidRPr="00125F93">
              <w:rPr>
                <w:rFonts w:ascii="Times New Roman Bold" w:hAnsi="Times New Roman Bold" w:cs="Times New Roman Bold"/>
                <w:b/>
                <w:sz w:val="14"/>
                <w:szCs w:val="14"/>
              </w:rPr>
              <w:t>Space operation, space research</w:t>
            </w:r>
          </w:p>
        </w:tc>
        <w:tc>
          <w:tcPr>
            <w:tcW w:w="737" w:type="dxa"/>
            <w:gridSpan w:val="2"/>
            <w:tcBorders>
              <w:top w:val="single" w:sz="4" w:space="0" w:color="auto"/>
              <w:left w:val="single" w:sz="4" w:space="0" w:color="auto"/>
              <w:bottom w:val="single" w:sz="4" w:space="0" w:color="auto"/>
              <w:right w:val="single" w:sz="4" w:space="0" w:color="auto"/>
            </w:tcBorders>
          </w:tcPr>
          <w:p w:rsidR="00D864AF" w:rsidRPr="00125F93" w:rsidRDefault="00D864AF" w:rsidP="00415337">
            <w:pPr>
              <w:keepNext/>
              <w:spacing w:before="80" w:after="80"/>
              <w:jc w:val="center"/>
              <w:rPr>
                <w:rFonts w:ascii="Times New Roman Bold" w:hAnsi="Times New Roman Bold" w:cs="Times New Roman Bold"/>
                <w:b/>
                <w:sz w:val="14"/>
                <w:szCs w:val="14"/>
                <w:lang w:val="fr-CH"/>
              </w:rPr>
            </w:pPr>
            <w:r w:rsidRPr="00125F93">
              <w:rPr>
                <w:rFonts w:ascii="Times New Roman Bold" w:hAnsi="Times New Roman Bold" w:cs="Times New Roman Bold"/>
                <w:b/>
                <w:sz w:val="14"/>
                <w:szCs w:val="14"/>
                <w:lang w:val="fr-CH"/>
              </w:rPr>
              <w:t>Meteoro-logical- satellite, mobile-satellite</w:t>
            </w:r>
          </w:p>
        </w:tc>
        <w:tc>
          <w:tcPr>
            <w:tcW w:w="643"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keepNext/>
              <w:spacing w:before="80" w:after="80"/>
              <w:jc w:val="center"/>
              <w:rPr>
                <w:rFonts w:ascii="Times New Roman Bold" w:hAnsi="Times New Roman Bold" w:cs="Times New Roman Bold"/>
                <w:b/>
                <w:sz w:val="14"/>
                <w:szCs w:val="14"/>
              </w:rPr>
            </w:pPr>
            <w:r w:rsidRPr="00125F93">
              <w:rPr>
                <w:rFonts w:ascii="Times New Roman Bold" w:hAnsi="Times New Roman Bold" w:cs="Times New Roman Bold"/>
                <w:b/>
                <w:sz w:val="14"/>
                <w:szCs w:val="14"/>
              </w:rPr>
              <w:t>Space research</w:t>
            </w:r>
          </w:p>
        </w:tc>
        <w:tc>
          <w:tcPr>
            <w:tcW w:w="688"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keepNext/>
              <w:spacing w:before="80" w:after="80"/>
              <w:jc w:val="center"/>
              <w:rPr>
                <w:rFonts w:ascii="Times New Roman Bold" w:hAnsi="Times New Roman Bold" w:cs="Times New Roman Bold"/>
                <w:b/>
                <w:sz w:val="14"/>
                <w:szCs w:val="14"/>
              </w:rPr>
            </w:pPr>
            <w:r w:rsidRPr="00125F93">
              <w:rPr>
                <w:rFonts w:ascii="Times New Roman Bold" w:hAnsi="Times New Roman Bold" w:cs="Times New Roman Bold"/>
                <w:b/>
                <w:sz w:val="14"/>
                <w:szCs w:val="14"/>
              </w:rPr>
              <w:t>Space research, space operation</w:t>
            </w:r>
          </w:p>
        </w:tc>
        <w:tc>
          <w:tcPr>
            <w:tcW w:w="688"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keepNext/>
              <w:spacing w:before="80" w:after="80"/>
              <w:jc w:val="center"/>
              <w:rPr>
                <w:rFonts w:ascii="Times New Roman Bold" w:hAnsi="Times New Roman Bold" w:cs="Times New Roman Bold"/>
                <w:b/>
                <w:sz w:val="14"/>
                <w:szCs w:val="14"/>
              </w:rPr>
            </w:pPr>
            <w:r w:rsidRPr="00125F93">
              <w:rPr>
                <w:rFonts w:ascii="Times New Roman Bold" w:hAnsi="Times New Roman Bold" w:cs="Times New Roman Bold"/>
                <w:b/>
                <w:sz w:val="14"/>
                <w:szCs w:val="14"/>
              </w:rPr>
              <w:t>Space operation</w:t>
            </w:r>
          </w:p>
        </w:tc>
        <w:tc>
          <w:tcPr>
            <w:tcW w:w="690"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keepNext/>
              <w:spacing w:before="80" w:after="80"/>
              <w:jc w:val="center"/>
              <w:rPr>
                <w:rFonts w:ascii="Times New Roman Bold" w:hAnsi="Times New Roman Bold" w:cs="Times New Roman Bold"/>
                <w:b/>
                <w:sz w:val="14"/>
                <w:szCs w:val="14"/>
              </w:rPr>
            </w:pPr>
            <w:r w:rsidRPr="00125F93">
              <w:rPr>
                <w:rFonts w:ascii="Times New Roman Bold" w:hAnsi="Times New Roman Bold" w:cs="Times New Roman Bold"/>
                <w:b/>
                <w:sz w:val="14"/>
                <w:szCs w:val="14"/>
              </w:rPr>
              <w:t>Mobile-satellite</w:t>
            </w:r>
          </w:p>
        </w:tc>
        <w:tc>
          <w:tcPr>
            <w:tcW w:w="827"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keepNext/>
              <w:spacing w:before="80" w:after="80"/>
              <w:jc w:val="center"/>
              <w:rPr>
                <w:rFonts w:ascii="Times New Roman Bold" w:hAnsi="Times New Roman Bold" w:cs="Times New Roman Bold"/>
                <w:b/>
                <w:sz w:val="14"/>
                <w:szCs w:val="14"/>
              </w:rPr>
            </w:pPr>
            <w:r w:rsidRPr="00125F93">
              <w:rPr>
                <w:rFonts w:ascii="Times New Roman Bold" w:hAnsi="Times New Roman Bold" w:cs="Times New Roman Bold"/>
                <w:b/>
                <w:sz w:val="14"/>
                <w:szCs w:val="14"/>
              </w:rPr>
              <w:t>Meteoro-logical-satellite</w:t>
            </w:r>
          </w:p>
        </w:tc>
        <w:tc>
          <w:tcPr>
            <w:tcW w:w="744"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keepNext/>
              <w:spacing w:before="80" w:after="80"/>
              <w:jc w:val="center"/>
              <w:rPr>
                <w:rFonts w:ascii="Times New Roman Bold" w:hAnsi="Times New Roman Bold" w:cs="Times New Roman Bold"/>
                <w:b/>
                <w:sz w:val="14"/>
                <w:szCs w:val="14"/>
              </w:rPr>
            </w:pPr>
            <w:r w:rsidRPr="00125F93">
              <w:rPr>
                <w:rFonts w:ascii="Times New Roman Bold" w:hAnsi="Times New Roman Bold" w:cs="Times New Roman Bold"/>
                <w:b/>
                <w:sz w:val="14"/>
                <w:szCs w:val="14"/>
              </w:rPr>
              <w:t>Mobile-satellite</w:t>
            </w:r>
          </w:p>
        </w:tc>
        <w:tc>
          <w:tcPr>
            <w:tcW w:w="767"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keepNext/>
              <w:spacing w:before="80" w:after="80"/>
              <w:jc w:val="center"/>
              <w:rPr>
                <w:rFonts w:ascii="Times New Roman Bold" w:hAnsi="Times New Roman Bold" w:cs="Times New Roman Bold"/>
                <w:b/>
                <w:sz w:val="14"/>
                <w:szCs w:val="14"/>
              </w:rPr>
            </w:pPr>
            <w:r w:rsidRPr="00125F93">
              <w:rPr>
                <w:rFonts w:ascii="Times New Roman Bold" w:hAnsi="Times New Roman Bold" w:cs="Times New Roman Bold"/>
                <w:b/>
                <w:sz w:val="14"/>
                <w:szCs w:val="14"/>
              </w:rPr>
              <w:t>Space research</w:t>
            </w:r>
          </w:p>
        </w:tc>
        <w:tc>
          <w:tcPr>
            <w:tcW w:w="824"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keepNext/>
              <w:spacing w:before="80" w:after="80"/>
              <w:jc w:val="center"/>
              <w:rPr>
                <w:rFonts w:ascii="Times New Roman Bold" w:hAnsi="Times New Roman Bold" w:cs="Times New Roman Bold"/>
                <w:b/>
                <w:sz w:val="14"/>
                <w:szCs w:val="14"/>
              </w:rPr>
            </w:pPr>
            <w:r w:rsidRPr="00125F93">
              <w:rPr>
                <w:rFonts w:ascii="Times New Roman Bold" w:hAnsi="Times New Roman Bold" w:cs="Times New Roman Bold"/>
                <w:b/>
                <w:sz w:val="14"/>
                <w:szCs w:val="14"/>
              </w:rPr>
              <w:t>Space operation</w:t>
            </w:r>
          </w:p>
        </w:tc>
        <w:tc>
          <w:tcPr>
            <w:tcW w:w="823"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keepNext/>
              <w:spacing w:before="80" w:after="80"/>
              <w:jc w:val="center"/>
              <w:rPr>
                <w:rFonts w:ascii="Times New Roman Bold" w:hAnsi="Times New Roman Bold" w:cs="Times New Roman Bold"/>
                <w:b/>
                <w:sz w:val="14"/>
                <w:szCs w:val="14"/>
              </w:rPr>
            </w:pPr>
            <w:del w:id="38" w:author="Author">
              <w:r w:rsidRPr="00125F93" w:rsidDel="00125F93">
                <w:rPr>
                  <w:rFonts w:ascii="Times New Roman Bold" w:hAnsi="Times New Roman Bold" w:cs="Times New Roman Bold"/>
                  <w:b/>
                  <w:sz w:val="14"/>
                  <w:szCs w:val="14"/>
                </w:rPr>
                <w:delText>Meteoro-logical- satellite</w:delText>
              </w:r>
            </w:del>
          </w:p>
        </w:tc>
        <w:tc>
          <w:tcPr>
            <w:tcW w:w="688"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keepNext/>
              <w:spacing w:before="80" w:after="80"/>
              <w:jc w:val="center"/>
              <w:rPr>
                <w:rFonts w:ascii="Times New Roman Bold" w:hAnsi="Times New Roman Bold" w:cs="Times New Roman Bold"/>
                <w:b/>
                <w:sz w:val="14"/>
                <w:szCs w:val="14"/>
              </w:rPr>
            </w:pPr>
            <w:r w:rsidRPr="00125F93">
              <w:rPr>
                <w:rFonts w:ascii="Times New Roman Bold" w:hAnsi="Times New Roman Bold" w:cs="Times New Roman Bold"/>
                <w:b/>
                <w:sz w:val="14"/>
                <w:szCs w:val="14"/>
              </w:rPr>
              <w:t>Broad-casting- satellite</w:t>
            </w:r>
          </w:p>
        </w:tc>
        <w:tc>
          <w:tcPr>
            <w:tcW w:w="823"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keepNext/>
              <w:spacing w:before="80" w:after="80"/>
              <w:jc w:val="center"/>
              <w:rPr>
                <w:rFonts w:ascii="Times New Roman Bold" w:hAnsi="Times New Roman Bold" w:cs="Times New Roman Bold"/>
                <w:b/>
                <w:sz w:val="14"/>
                <w:szCs w:val="14"/>
              </w:rPr>
            </w:pPr>
            <w:r w:rsidRPr="00125F93">
              <w:rPr>
                <w:rFonts w:ascii="Times New Roman Bold" w:hAnsi="Times New Roman Bold" w:cs="Times New Roman Bold"/>
                <w:b/>
                <w:sz w:val="14"/>
                <w:szCs w:val="14"/>
              </w:rPr>
              <w:t>Mobile-satellite</w:t>
            </w:r>
          </w:p>
        </w:tc>
        <w:tc>
          <w:tcPr>
            <w:tcW w:w="961"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keepNext/>
              <w:spacing w:before="80" w:after="80"/>
              <w:jc w:val="center"/>
              <w:rPr>
                <w:rFonts w:ascii="Times New Roman Bold" w:hAnsi="Times New Roman Bold" w:cs="Times New Roman Bold"/>
                <w:b/>
                <w:sz w:val="14"/>
                <w:szCs w:val="14"/>
              </w:rPr>
            </w:pPr>
            <w:r w:rsidRPr="00125F93">
              <w:rPr>
                <w:rFonts w:ascii="Times New Roman Bold" w:hAnsi="Times New Roman Bold" w:cs="Times New Roman Bold"/>
                <w:b/>
                <w:sz w:val="14"/>
                <w:szCs w:val="14"/>
              </w:rPr>
              <w:t>Broadcasting- satellite</w:t>
            </w:r>
            <w:r w:rsidRPr="00125F93">
              <w:rPr>
                <w:rFonts w:ascii="Times New Roman Bold" w:hAnsi="Times New Roman Bold" w:cs="Times New Roman Bold"/>
                <w:b/>
                <w:sz w:val="14"/>
                <w:szCs w:val="14"/>
              </w:rPr>
              <w:br/>
              <w:t>(DAB)</w:t>
            </w:r>
          </w:p>
        </w:tc>
        <w:tc>
          <w:tcPr>
            <w:tcW w:w="959"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keepNext/>
              <w:spacing w:before="80" w:after="80"/>
              <w:jc w:val="center"/>
              <w:rPr>
                <w:rFonts w:ascii="Times New Roman Bold" w:hAnsi="Times New Roman Bold" w:cs="Times New Roman Bold"/>
                <w:b/>
                <w:sz w:val="14"/>
                <w:szCs w:val="14"/>
                <w:lang w:val="fr-CH"/>
              </w:rPr>
            </w:pPr>
            <w:r w:rsidRPr="00125F93">
              <w:rPr>
                <w:rFonts w:ascii="Times New Roman Bold" w:hAnsi="Times New Roman Bold" w:cs="Times New Roman Bold"/>
                <w:b/>
                <w:sz w:val="14"/>
                <w:szCs w:val="14"/>
                <w:lang w:val="fr-CH"/>
              </w:rPr>
              <w:t>Mobile-satellite,</w:t>
            </w:r>
            <w:r w:rsidRPr="00125F93">
              <w:rPr>
                <w:rFonts w:ascii="Times New Roman Bold" w:hAnsi="Times New Roman Bold" w:cs="Times New Roman Bold"/>
                <w:b/>
                <w:sz w:val="14"/>
                <w:szCs w:val="14"/>
                <w:lang w:val="fr-CH"/>
              </w:rPr>
              <w:br/>
              <w:t>land-mobile satellite, maritime mobile-satellite</w:t>
            </w:r>
          </w:p>
        </w:tc>
      </w:tr>
      <w:tr w:rsidR="00D864AF" w:rsidRPr="00125F93" w:rsidTr="00415337">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rPr>
            </w:pPr>
            <w:r w:rsidRPr="00125F93">
              <w:rPr>
                <w:sz w:val="14"/>
                <w:szCs w:val="14"/>
              </w:rPr>
              <w:t>Frequency bands (MHz)</w:t>
            </w:r>
          </w:p>
        </w:tc>
        <w:tc>
          <w:tcPr>
            <w:tcW w:w="862"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137-138</w:t>
            </w:r>
          </w:p>
        </w:tc>
        <w:tc>
          <w:tcPr>
            <w:tcW w:w="737" w:type="dxa"/>
            <w:gridSpan w:val="2"/>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137-138</w:t>
            </w:r>
          </w:p>
        </w:tc>
        <w:tc>
          <w:tcPr>
            <w:tcW w:w="643"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143.6-143.65</w:t>
            </w:r>
          </w:p>
        </w:tc>
        <w:tc>
          <w:tcPr>
            <w:tcW w:w="688"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174-184</w:t>
            </w:r>
          </w:p>
        </w:tc>
        <w:tc>
          <w:tcPr>
            <w:tcW w:w="688"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 xml:space="preserve">163-167 272-273  </w:t>
            </w:r>
            <w:r w:rsidRPr="00125F93">
              <w:rPr>
                <w:position w:val="4"/>
                <w:sz w:val="12"/>
                <w:szCs w:val="12"/>
              </w:rPr>
              <w:t>5</w:t>
            </w:r>
          </w:p>
        </w:tc>
        <w:tc>
          <w:tcPr>
            <w:tcW w:w="690"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335.4-399.9</w:t>
            </w:r>
          </w:p>
        </w:tc>
        <w:tc>
          <w:tcPr>
            <w:tcW w:w="827"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400.15-401</w:t>
            </w:r>
          </w:p>
        </w:tc>
        <w:tc>
          <w:tcPr>
            <w:tcW w:w="744"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400.15-401</w:t>
            </w:r>
          </w:p>
        </w:tc>
        <w:tc>
          <w:tcPr>
            <w:tcW w:w="767"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400.15-401</w:t>
            </w:r>
          </w:p>
        </w:tc>
        <w:tc>
          <w:tcPr>
            <w:tcW w:w="824"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401-402</w:t>
            </w:r>
          </w:p>
        </w:tc>
        <w:tc>
          <w:tcPr>
            <w:tcW w:w="823"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del w:id="39" w:author="Author">
              <w:r w:rsidRPr="00125F93" w:rsidDel="00125F93">
                <w:rPr>
                  <w:sz w:val="14"/>
                  <w:szCs w:val="14"/>
                </w:rPr>
                <w:delText>460-470</w:delText>
              </w:r>
            </w:del>
          </w:p>
        </w:tc>
        <w:tc>
          <w:tcPr>
            <w:tcW w:w="688"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620-790</w:t>
            </w:r>
          </w:p>
        </w:tc>
        <w:tc>
          <w:tcPr>
            <w:tcW w:w="823"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856-890</w:t>
            </w:r>
          </w:p>
        </w:tc>
        <w:tc>
          <w:tcPr>
            <w:tcW w:w="961"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1 452-1 492</w:t>
            </w:r>
          </w:p>
        </w:tc>
        <w:tc>
          <w:tcPr>
            <w:tcW w:w="959"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1 518-1 530</w:t>
            </w:r>
            <w:r w:rsidRPr="00125F93">
              <w:rPr>
                <w:sz w:val="14"/>
                <w:szCs w:val="14"/>
              </w:rPr>
              <w:br/>
              <w:t>1 555-1 559</w:t>
            </w:r>
            <w:r w:rsidRPr="00125F93">
              <w:rPr>
                <w:sz w:val="14"/>
                <w:szCs w:val="14"/>
              </w:rPr>
              <w:br/>
              <w:t xml:space="preserve">2 160-2 200  </w:t>
            </w:r>
            <w:r w:rsidRPr="00125F93">
              <w:rPr>
                <w:position w:val="4"/>
                <w:sz w:val="12"/>
                <w:szCs w:val="12"/>
              </w:rPr>
              <w:t>1</w:t>
            </w:r>
          </w:p>
        </w:tc>
      </w:tr>
      <w:tr w:rsidR="00D864AF" w:rsidRPr="00125F93" w:rsidTr="00415337">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rPr>
            </w:pPr>
            <w:r w:rsidRPr="00125F93">
              <w:rPr>
                <w:sz w:val="14"/>
                <w:szCs w:val="14"/>
              </w:rPr>
              <w:t xml:space="preserve">Transmitting terrestrial </w:t>
            </w:r>
            <w:r w:rsidRPr="00125F93">
              <w:rPr>
                <w:sz w:val="14"/>
                <w:szCs w:val="14"/>
              </w:rPr>
              <w:br/>
              <w:t>service designations</w:t>
            </w:r>
          </w:p>
        </w:tc>
        <w:tc>
          <w:tcPr>
            <w:tcW w:w="862"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Fixed,</w:t>
            </w:r>
            <w:r w:rsidRPr="00125F93">
              <w:rPr>
                <w:sz w:val="14"/>
                <w:szCs w:val="14"/>
              </w:rPr>
              <w:br/>
              <w:t>mobile</w:t>
            </w:r>
          </w:p>
        </w:tc>
        <w:tc>
          <w:tcPr>
            <w:tcW w:w="737" w:type="dxa"/>
            <w:gridSpan w:val="2"/>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Fixed,</w:t>
            </w:r>
            <w:r w:rsidRPr="00125F93">
              <w:rPr>
                <w:sz w:val="14"/>
                <w:szCs w:val="14"/>
              </w:rPr>
              <w:br/>
              <w:t>mobile</w:t>
            </w:r>
          </w:p>
        </w:tc>
        <w:tc>
          <w:tcPr>
            <w:tcW w:w="643"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Fixed, mobile, radio-location</w:t>
            </w:r>
          </w:p>
        </w:tc>
        <w:tc>
          <w:tcPr>
            <w:tcW w:w="688"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Fixed, mobile,</w:t>
            </w:r>
            <w:r w:rsidRPr="00125F93">
              <w:rPr>
                <w:sz w:val="14"/>
                <w:szCs w:val="14"/>
              </w:rPr>
              <w:br/>
              <w:t>broad-casting</w:t>
            </w:r>
          </w:p>
        </w:tc>
        <w:tc>
          <w:tcPr>
            <w:tcW w:w="688"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Fixed, mobile</w:t>
            </w:r>
          </w:p>
        </w:tc>
        <w:tc>
          <w:tcPr>
            <w:tcW w:w="690"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Fixed, mobile</w:t>
            </w:r>
          </w:p>
        </w:tc>
        <w:tc>
          <w:tcPr>
            <w:tcW w:w="827"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 xml:space="preserve">Meteoro-logical </w:t>
            </w:r>
            <w:r w:rsidRPr="00125F93">
              <w:rPr>
                <w:sz w:val="14"/>
                <w:szCs w:val="14"/>
              </w:rPr>
              <w:br/>
              <w:t>aids</w:t>
            </w:r>
          </w:p>
        </w:tc>
        <w:tc>
          <w:tcPr>
            <w:tcW w:w="744"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Meteoro-</w:t>
            </w:r>
            <w:r w:rsidRPr="00125F93">
              <w:rPr>
                <w:sz w:val="14"/>
                <w:szCs w:val="14"/>
              </w:rPr>
              <w:br/>
              <w:t xml:space="preserve">logical </w:t>
            </w:r>
            <w:r w:rsidRPr="00125F93">
              <w:rPr>
                <w:sz w:val="14"/>
                <w:szCs w:val="14"/>
              </w:rPr>
              <w:br/>
              <w:t>aids</w:t>
            </w:r>
          </w:p>
        </w:tc>
        <w:tc>
          <w:tcPr>
            <w:tcW w:w="767"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 xml:space="preserve">Meteoro-logical </w:t>
            </w:r>
            <w:r w:rsidRPr="00125F93">
              <w:rPr>
                <w:sz w:val="14"/>
                <w:szCs w:val="14"/>
              </w:rPr>
              <w:br/>
              <w:t>aids</w:t>
            </w:r>
          </w:p>
        </w:tc>
        <w:tc>
          <w:tcPr>
            <w:tcW w:w="824"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Meteoro-logical aids,</w:t>
            </w:r>
            <w:r w:rsidRPr="00125F93">
              <w:rPr>
                <w:sz w:val="14"/>
                <w:szCs w:val="14"/>
              </w:rPr>
              <w:br/>
              <w:t>fixed, mobile</w:t>
            </w:r>
          </w:p>
        </w:tc>
        <w:tc>
          <w:tcPr>
            <w:tcW w:w="823"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del w:id="40" w:author="Author">
              <w:r w:rsidRPr="00125F93" w:rsidDel="00125F93">
                <w:rPr>
                  <w:sz w:val="14"/>
                  <w:szCs w:val="14"/>
                </w:rPr>
                <w:delText>Fixed, mobile</w:delText>
              </w:r>
            </w:del>
          </w:p>
        </w:tc>
        <w:tc>
          <w:tcPr>
            <w:tcW w:w="688"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Fixed, mobile,</w:t>
            </w:r>
            <w:r w:rsidRPr="00125F93">
              <w:rPr>
                <w:sz w:val="14"/>
                <w:szCs w:val="14"/>
              </w:rPr>
              <w:br/>
              <w:t>broad-casting</w:t>
            </w:r>
          </w:p>
        </w:tc>
        <w:tc>
          <w:tcPr>
            <w:tcW w:w="823"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Fixed, mobile,</w:t>
            </w:r>
            <w:r w:rsidRPr="00125F93">
              <w:rPr>
                <w:sz w:val="14"/>
                <w:szCs w:val="14"/>
              </w:rPr>
              <w:br/>
              <w:t>broad</w:t>
            </w:r>
            <w:r w:rsidRPr="00125F93">
              <w:rPr>
                <w:sz w:val="14"/>
                <w:szCs w:val="14"/>
              </w:rPr>
              <w:br/>
              <w:t>casting</w:t>
            </w:r>
          </w:p>
        </w:tc>
        <w:tc>
          <w:tcPr>
            <w:tcW w:w="961"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Fixed, mobile,</w:t>
            </w:r>
            <w:r w:rsidRPr="00125F93">
              <w:rPr>
                <w:sz w:val="14"/>
                <w:szCs w:val="14"/>
              </w:rPr>
              <w:br/>
              <w:t>broadcasting</w:t>
            </w:r>
          </w:p>
        </w:tc>
        <w:tc>
          <w:tcPr>
            <w:tcW w:w="959"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Fixed, mobile</w:t>
            </w:r>
          </w:p>
        </w:tc>
      </w:tr>
      <w:tr w:rsidR="00D864AF" w:rsidRPr="00125F93" w:rsidTr="00415337">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rPr>
            </w:pPr>
            <w:r w:rsidRPr="00125F93">
              <w:rPr>
                <w:sz w:val="14"/>
                <w:szCs w:val="14"/>
              </w:rPr>
              <w:t>Method to be used</w:t>
            </w:r>
          </w:p>
        </w:tc>
        <w:tc>
          <w:tcPr>
            <w:tcW w:w="862"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 2.1</w:t>
            </w:r>
          </w:p>
        </w:tc>
        <w:tc>
          <w:tcPr>
            <w:tcW w:w="737" w:type="dxa"/>
            <w:gridSpan w:val="2"/>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 2.1</w:t>
            </w:r>
          </w:p>
        </w:tc>
        <w:tc>
          <w:tcPr>
            <w:tcW w:w="643"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 2.1</w:t>
            </w:r>
          </w:p>
        </w:tc>
        <w:tc>
          <w:tcPr>
            <w:tcW w:w="688"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 2.1</w:t>
            </w:r>
          </w:p>
        </w:tc>
        <w:tc>
          <w:tcPr>
            <w:tcW w:w="688"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 2.1</w:t>
            </w:r>
          </w:p>
        </w:tc>
        <w:tc>
          <w:tcPr>
            <w:tcW w:w="690"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 1.4.6</w:t>
            </w:r>
          </w:p>
        </w:tc>
        <w:tc>
          <w:tcPr>
            <w:tcW w:w="827"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 1.4.6</w:t>
            </w:r>
          </w:p>
        </w:tc>
        <w:tc>
          <w:tcPr>
            <w:tcW w:w="744"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 1.4.6</w:t>
            </w:r>
          </w:p>
        </w:tc>
        <w:tc>
          <w:tcPr>
            <w:tcW w:w="767"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w:t>
            </w:r>
          </w:p>
        </w:tc>
        <w:tc>
          <w:tcPr>
            <w:tcW w:w="824"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 2.1</w:t>
            </w:r>
          </w:p>
        </w:tc>
        <w:tc>
          <w:tcPr>
            <w:tcW w:w="823"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del w:id="41" w:author="Author">
              <w:r w:rsidRPr="00125F93" w:rsidDel="00125F93">
                <w:rPr>
                  <w:sz w:val="14"/>
                  <w:szCs w:val="14"/>
                </w:rPr>
                <w:delText>§ 2.1</w:delText>
              </w:r>
            </w:del>
          </w:p>
        </w:tc>
        <w:tc>
          <w:tcPr>
            <w:tcW w:w="688"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 1.4.5</w:t>
            </w:r>
          </w:p>
        </w:tc>
        <w:tc>
          <w:tcPr>
            <w:tcW w:w="823"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 1.4.6</w:t>
            </w:r>
          </w:p>
        </w:tc>
        <w:tc>
          <w:tcPr>
            <w:tcW w:w="961"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 1.4.5</w:t>
            </w:r>
          </w:p>
        </w:tc>
        <w:tc>
          <w:tcPr>
            <w:tcW w:w="959" w:type="dxa"/>
            <w:tcBorders>
              <w:top w:val="single" w:sz="4" w:space="0" w:color="auto"/>
              <w:left w:val="single" w:sz="4" w:space="0" w:color="auto"/>
              <w:bottom w:val="single" w:sz="4" w:space="0" w:color="auto"/>
              <w:right w:val="single" w:sz="4"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 1.4.6</w:t>
            </w:r>
          </w:p>
        </w:tc>
      </w:tr>
      <w:tr w:rsidR="00D864AF" w:rsidRPr="00125F93" w:rsidTr="00415337">
        <w:trPr>
          <w:gridAfter w:val="1"/>
          <w:wAfter w:w="31" w:type="dxa"/>
          <w:cantSplit/>
          <w:jc w:val="center"/>
        </w:trPr>
        <w:tc>
          <w:tcPr>
            <w:tcW w:w="2704" w:type="dxa"/>
            <w:gridSpan w:val="3"/>
            <w:tcBorders>
              <w:top w:val="single" w:sz="4" w:space="0" w:color="auto"/>
              <w:left w:val="single" w:sz="6" w:space="0" w:color="auto"/>
              <w:bottom w:val="nil"/>
              <w:right w:val="nil"/>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rPr>
            </w:pPr>
            <w:r w:rsidRPr="00125F93">
              <w:rPr>
                <w:sz w:val="14"/>
                <w:szCs w:val="14"/>
              </w:rPr>
              <w:t xml:space="preserve">Modulation at earth station  </w:t>
            </w:r>
            <w:r w:rsidRPr="00125F93">
              <w:rPr>
                <w:position w:val="4"/>
                <w:sz w:val="12"/>
                <w:szCs w:val="12"/>
              </w:rPr>
              <w:t>2</w:t>
            </w:r>
          </w:p>
        </w:tc>
        <w:tc>
          <w:tcPr>
            <w:tcW w:w="862" w:type="dxa"/>
            <w:tcBorders>
              <w:top w:val="single" w:sz="4" w:space="0" w:color="auto"/>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N</w:t>
            </w:r>
          </w:p>
        </w:tc>
        <w:tc>
          <w:tcPr>
            <w:tcW w:w="737" w:type="dxa"/>
            <w:gridSpan w:val="2"/>
            <w:tcBorders>
              <w:top w:val="single" w:sz="4" w:space="0" w:color="auto"/>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643" w:type="dxa"/>
            <w:tcBorders>
              <w:top w:val="single" w:sz="4" w:space="0" w:color="auto"/>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N</w:t>
            </w:r>
          </w:p>
        </w:tc>
        <w:tc>
          <w:tcPr>
            <w:tcW w:w="688" w:type="dxa"/>
            <w:tcBorders>
              <w:top w:val="single" w:sz="4" w:space="0" w:color="auto"/>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688" w:type="dxa"/>
            <w:tcBorders>
              <w:top w:val="single" w:sz="4" w:space="0" w:color="auto"/>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N</w:t>
            </w:r>
          </w:p>
        </w:tc>
        <w:tc>
          <w:tcPr>
            <w:tcW w:w="690" w:type="dxa"/>
            <w:tcBorders>
              <w:top w:val="single" w:sz="4" w:space="0" w:color="auto"/>
              <w:left w:val="single" w:sz="6" w:space="0" w:color="auto"/>
              <w:bottom w:val="nil"/>
              <w:right w:val="nil"/>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827" w:type="dxa"/>
            <w:tcBorders>
              <w:top w:val="single" w:sz="4" w:space="0" w:color="auto"/>
              <w:left w:val="single" w:sz="6" w:space="0" w:color="auto"/>
              <w:bottom w:val="nil"/>
              <w:right w:val="nil"/>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744" w:type="dxa"/>
            <w:tcBorders>
              <w:top w:val="single" w:sz="4" w:space="0" w:color="auto"/>
              <w:left w:val="single" w:sz="6" w:space="0" w:color="auto"/>
              <w:bottom w:val="nil"/>
              <w:right w:val="nil"/>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767" w:type="dxa"/>
            <w:tcBorders>
              <w:top w:val="single" w:sz="4" w:space="0" w:color="auto"/>
              <w:left w:val="single" w:sz="6" w:space="0" w:color="auto"/>
              <w:bottom w:val="nil"/>
              <w:right w:val="nil"/>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N</w:t>
            </w:r>
          </w:p>
        </w:tc>
        <w:tc>
          <w:tcPr>
            <w:tcW w:w="824" w:type="dxa"/>
            <w:tcBorders>
              <w:top w:val="single" w:sz="4" w:space="0" w:color="auto"/>
              <w:left w:val="single" w:sz="6" w:space="0" w:color="auto"/>
              <w:bottom w:val="nil"/>
              <w:right w:val="nil"/>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N</w:t>
            </w:r>
          </w:p>
        </w:tc>
        <w:tc>
          <w:tcPr>
            <w:tcW w:w="823" w:type="dxa"/>
            <w:tcBorders>
              <w:top w:val="single" w:sz="4" w:space="0" w:color="auto"/>
              <w:left w:val="single" w:sz="6" w:space="0" w:color="auto"/>
              <w:bottom w:val="nil"/>
              <w:right w:val="nil"/>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688" w:type="dxa"/>
            <w:tcBorders>
              <w:top w:val="single" w:sz="4" w:space="0" w:color="auto"/>
              <w:left w:val="single" w:sz="6" w:space="0" w:color="auto"/>
              <w:bottom w:val="nil"/>
              <w:right w:val="nil"/>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823" w:type="dxa"/>
            <w:tcBorders>
              <w:top w:val="single" w:sz="4" w:space="0" w:color="auto"/>
              <w:left w:val="single" w:sz="6" w:space="0" w:color="auto"/>
              <w:bottom w:val="nil"/>
              <w:right w:val="nil"/>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961" w:type="dxa"/>
            <w:tcBorders>
              <w:top w:val="single" w:sz="4" w:space="0" w:color="auto"/>
              <w:left w:val="single" w:sz="6" w:space="0" w:color="auto"/>
              <w:bottom w:val="nil"/>
              <w:right w:val="nil"/>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N</w:t>
            </w:r>
          </w:p>
        </w:tc>
        <w:tc>
          <w:tcPr>
            <w:tcW w:w="959" w:type="dxa"/>
            <w:tcBorders>
              <w:top w:val="single" w:sz="4" w:space="0" w:color="auto"/>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N</w:t>
            </w:r>
          </w:p>
        </w:tc>
      </w:tr>
      <w:tr w:rsidR="00D864AF" w:rsidRPr="00125F93" w:rsidTr="00415337">
        <w:trPr>
          <w:gridAfter w:val="1"/>
          <w:wAfter w:w="31" w:type="dxa"/>
          <w:cantSplit/>
          <w:jc w:val="center"/>
        </w:trPr>
        <w:tc>
          <w:tcPr>
            <w:tcW w:w="1373" w:type="dxa"/>
            <w:vMerge w:val="restart"/>
            <w:tcBorders>
              <w:top w:val="single" w:sz="6" w:space="0" w:color="auto"/>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rPr>
            </w:pPr>
            <w:r w:rsidRPr="00125F93">
              <w:rPr>
                <w:sz w:val="14"/>
                <w:szCs w:val="14"/>
                <w:lang w:val="en-US"/>
              </w:rPr>
              <w:t>Earth station</w:t>
            </w:r>
            <w:r w:rsidRPr="00125F93">
              <w:rPr>
                <w:sz w:val="14"/>
                <w:szCs w:val="14"/>
                <w:lang w:val="en-US"/>
              </w:rPr>
              <w:br/>
              <w:t>interference</w:t>
            </w:r>
            <w:r w:rsidRPr="00125F93">
              <w:rPr>
                <w:sz w:val="14"/>
                <w:szCs w:val="14"/>
                <w:lang w:val="en-US"/>
              </w:rPr>
              <w:br/>
              <w:t>parameters</w:t>
            </w:r>
            <w:r w:rsidRPr="00125F93">
              <w:rPr>
                <w:sz w:val="14"/>
                <w:szCs w:val="14"/>
                <w:lang w:val="en-US"/>
              </w:rPr>
              <w:br/>
              <w:t>and criteria</w:t>
            </w:r>
          </w:p>
        </w:tc>
        <w:tc>
          <w:tcPr>
            <w:tcW w:w="1032" w:type="dxa"/>
            <w:tcBorders>
              <w:top w:val="single" w:sz="6" w:space="0" w:color="auto"/>
              <w:left w:val="single" w:sz="6" w:space="0" w:color="auto"/>
              <w:bottom w:val="single" w:sz="6" w:space="0" w:color="auto"/>
              <w:right w:val="nil"/>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position w:val="2"/>
                <w:sz w:val="14"/>
                <w:szCs w:val="14"/>
                <w:lang w:val="es-ES_tradnl"/>
              </w:rPr>
            </w:pPr>
            <w:r w:rsidRPr="00125F93">
              <w:rPr>
                <w:i/>
                <w:iCs/>
                <w:sz w:val="14"/>
                <w:szCs w:val="14"/>
                <w:lang w:val="es-ES_tradnl"/>
              </w:rPr>
              <w:t>p</w:t>
            </w:r>
            <w:r w:rsidRPr="00125F93">
              <w:rPr>
                <w:position w:val="-4"/>
                <w:sz w:val="12"/>
                <w:szCs w:val="12"/>
              </w:rPr>
              <w:t>0</w:t>
            </w:r>
            <w:r w:rsidRPr="00125F93">
              <w:rPr>
                <w:sz w:val="14"/>
                <w:szCs w:val="14"/>
              </w:rPr>
              <w:t xml:space="preserve"> </w:t>
            </w:r>
            <w:r w:rsidRPr="00125F93">
              <w:rPr>
                <w:sz w:val="14"/>
                <w:szCs w:val="14"/>
                <w:lang w:val="es-ES_tradnl"/>
              </w:rPr>
              <w:t>(%)</w:t>
            </w:r>
          </w:p>
        </w:tc>
        <w:tc>
          <w:tcPr>
            <w:tcW w:w="299" w:type="dxa"/>
            <w:tcBorders>
              <w:top w:val="single" w:sz="6" w:space="0" w:color="auto"/>
              <w:left w:val="nil"/>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lang w:val="es-ES_tradnl"/>
              </w:rPr>
            </w:pPr>
          </w:p>
        </w:tc>
        <w:tc>
          <w:tcPr>
            <w:tcW w:w="869" w:type="dxa"/>
            <w:gridSpan w:val="2"/>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0.1</w:t>
            </w:r>
          </w:p>
        </w:tc>
        <w:tc>
          <w:tcPr>
            <w:tcW w:w="73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64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0.1</w:t>
            </w: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1.0</w:t>
            </w:r>
          </w:p>
        </w:tc>
        <w:tc>
          <w:tcPr>
            <w:tcW w:w="69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82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0.012</w:t>
            </w:r>
          </w:p>
        </w:tc>
        <w:tc>
          <w:tcPr>
            <w:tcW w:w="74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76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0.1</w:t>
            </w:r>
          </w:p>
        </w:tc>
        <w:tc>
          <w:tcPr>
            <w:tcW w:w="82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0.1</w:t>
            </w: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del w:id="42" w:author="Author">
              <w:r w:rsidRPr="00125F93" w:rsidDel="00125F93">
                <w:rPr>
                  <w:sz w:val="14"/>
                  <w:szCs w:val="14"/>
                  <w:lang w:val="es-ES_tradnl"/>
                </w:rPr>
                <w:delText>0.012</w:delText>
              </w:r>
            </w:del>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961"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959"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10</w:t>
            </w:r>
          </w:p>
        </w:tc>
      </w:tr>
      <w:tr w:rsidR="00D864AF" w:rsidRPr="00125F93" w:rsidTr="00415337">
        <w:trPr>
          <w:gridAfter w:val="1"/>
          <w:wAfter w:w="31" w:type="dxa"/>
          <w:cantSplit/>
          <w:jc w:val="center"/>
        </w:trPr>
        <w:tc>
          <w:tcPr>
            <w:tcW w:w="1373" w:type="dxa"/>
            <w:vMerge/>
            <w:tcBorders>
              <w:top w:val="nil"/>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lang w:val="es-ES_tradnl"/>
              </w:rPr>
            </w:pPr>
          </w:p>
        </w:tc>
        <w:tc>
          <w:tcPr>
            <w:tcW w:w="1032" w:type="dxa"/>
            <w:tcBorders>
              <w:top w:val="single" w:sz="6" w:space="0" w:color="auto"/>
              <w:left w:val="single" w:sz="6" w:space="0" w:color="auto"/>
              <w:bottom w:val="single" w:sz="6" w:space="0" w:color="auto"/>
              <w:right w:val="nil"/>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lang w:val="es-ES_tradnl"/>
              </w:rPr>
            </w:pPr>
            <w:r w:rsidRPr="00125F93">
              <w:rPr>
                <w:i/>
                <w:iCs/>
                <w:sz w:val="14"/>
                <w:szCs w:val="14"/>
                <w:lang w:val="es-ES_tradnl"/>
              </w:rPr>
              <w:t>n</w:t>
            </w:r>
          </w:p>
        </w:tc>
        <w:tc>
          <w:tcPr>
            <w:tcW w:w="299" w:type="dxa"/>
            <w:tcBorders>
              <w:top w:val="single" w:sz="6" w:space="0" w:color="auto"/>
              <w:left w:val="nil"/>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lang w:val="es-ES_tradnl"/>
              </w:rPr>
            </w:pPr>
          </w:p>
        </w:tc>
        <w:tc>
          <w:tcPr>
            <w:tcW w:w="869" w:type="dxa"/>
            <w:gridSpan w:val="2"/>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2</w:t>
            </w:r>
          </w:p>
        </w:tc>
        <w:tc>
          <w:tcPr>
            <w:tcW w:w="73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64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2</w:t>
            </w: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1</w:t>
            </w:r>
          </w:p>
        </w:tc>
        <w:tc>
          <w:tcPr>
            <w:tcW w:w="69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827" w:type="dxa"/>
            <w:tcBorders>
              <w:top w:val="single" w:sz="6" w:space="0" w:color="auto"/>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1</w:t>
            </w:r>
          </w:p>
        </w:tc>
        <w:tc>
          <w:tcPr>
            <w:tcW w:w="74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76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2</w:t>
            </w:r>
          </w:p>
        </w:tc>
        <w:tc>
          <w:tcPr>
            <w:tcW w:w="82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2</w:t>
            </w: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del w:id="43" w:author="Author">
              <w:r w:rsidRPr="00125F93" w:rsidDel="00125F93">
                <w:rPr>
                  <w:sz w:val="14"/>
                  <w:szCs w:val="14"/>
                  <w:lang w:val="es-ES_tradnl"/>
                </w:rPr>
                <w:delText>1</w:delText>
              </w:r>
            </w:del>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961"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959"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1</w:t>
            </w:r>
          </w:p>
        </w:tc>
      </w:tr>
      <w:tr w:rsidR="00D864AF" w:rsidRPr="00125F93" w:rsidTr="00415337">
        <w:trPr>
          <w:gridAfter w:val="1"/>
          <w:wAfter w:w="31" w:type="dxa"/>
          <w:cantSplit/>
          <w:jc w:val="center"/>
        </w:trPr>
        <w:tc>
          <w:tcPr>
            <w:tcW w:w="1373" w:type="dxa"/>
            <w:vMerge/>
            <w:tcBorders>
              <w:top w:val="nil"/>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lang w:val="es-ES_tradnl"/>
              </w:rPr>
            </w:pPr>
          </w:p>
        </w:tc>
        <w:tc>
          <w:tcPr>
            <w:tcW w:w="1032" w:type="dxa"/>
            <w:tcBorders>
              <w:top w:val="single" w:sz="6" w:space="0" w:color="auto"/>
              <w:left w:val="single" w:sz="6" w:space="0" w:color="auto"/>
              <w:bottom w:val="single" w:sz="6" w:space="0" w:color="auto"/>
              <w:right w:val="nil"/>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position w:val="2"/>
                <w:sz w:val="14"/>
                <w:szCs w:val="14"/>
                <w:lang w:val="es-ES_tradnl"/>
              </w:rPr>
            </w:pPr>
            <w:r w:rsidRPr="00125F93">
              <w:rPr>
                <w:i/>
                <w:iCs/>
                <w:sz w:val="14"/>
                <w:szCs w:val="14"/>
                <w:lang w:val="es-ES_tradnl"/>
              </w:rPr>
              <w:t>p</w:t>
            </w:r>
            <w:r w:rsidRPr="00125F93">
              <w:rPr>
                <w:sz w:val="14"/>
                <w:szCs w:val="14"/>
              </w:rPr>
              <w:t xml:space="preserve"> </w:t>
            </w:r>
            <w:r w:rsidRPr="00125F93">
              <w:rPr>
                <w:sz w:val="14"/>
                <w:szCs w:val="14"/>
                <w:lang w:val="es-ES_tradnl"/>
              </w:rPr>
              <w:t>(%)</w:t>
            </w:r>
          </w:p>
        </w:tc>
        <w:tc>
          <w:tcPr>
            <w:tcW w:w="299" w:type="dxa"/>
            <w:tcBorders>
              <w:top w:val="single" w:sz="6" w:space="0" w:color="auto"/>
              <w:left w:val="nil"/>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lang w:val="es-ES_tradnl"/>
              </w:rPr>
            </w:pPr>
          </w:p>
        </w:tc>
        <w:tc>
          <w:tcPr>
            <w:tcW w:w="869" w:type="dxa"/>
            <w:gridSpan w:val="2"/>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0.05</w:t>
            </w:r>
          </w:p>
        </w:tc>
        <w:tc>
          <w:tcPr>
            <w:tcW w:w="73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64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0.05</w:t>
            </w: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1.0</w:t>
            </w:r>
          </w:p>
        </w:tc>
        <w:tc>
          <w:tcPr>
            <w:tcW w:w="69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827" w:type="dxa"/>
            <w:tcBorders>
              <w:top w:val="single" w:sz="6" w:space="0" w:color="auto"/>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0.012</w:t>
            </w:r>
          </w:p>
        </w:tc>
        <w:tc>
          <w:tcPr>
            <w:tcW w:w="74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76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0.05</w:t>
            </w:r>
          </w:p>
        </w:tc>
        <w:tc>
          <w:tcPr>
            <w:tcW w:w="82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0.05</w:t>
            </w: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del w:id="44" w:author="Author">
              <w:r w:rsidRPr="00125F93" w:rsidDel="00125F93">
                <w:rPr>
                  <w:sz w:val="14"/>
                  <w:szCs w:val="14"/>
                  <w:lang w:val="es-ES_tradnl"/>
                </w:rPr>
                <w:delText>0.012</w:delText>
              </w:r>
            </w:del>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961"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959"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10</w:t>
            </w:r>
          </w:p>
        </w:tc>
      </w:tr>
      <w:tr w:rsidR="00D864AF" w:rsidRPr="00125F93" w:rsidTr="00415337">
        <w:trPr>
          <w:gridAfter w:val="1"/>
          <w:wAfter w:w="31" w:type="dxa"/>
          <w:cantSplit/>
          <w:jc w:val="center"/>
        </w:trPr>
        <w:tc>
          <w:tcPr>
            <w:tcW w:w="1373" w:type="dxa"/>
            <w:vMerge/>
            <w:tcBorders>
              <w:top w:val="nil"/>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lang w:val="es-ES_tradnl"/>
              </w:rPr>
            </w:pPr>
          </w:p>
        </w:tc>
        <w:tc>
          <w:tcPr>
            <w:tcW w:w="1032" w:type="dxa"/>
            <w:tcBorders>
              <w:top w:val="single" w:sz="6" w:space="0" w:color="auto"/>
              <w:left w:val="single" w:sz="6" w:space="0" w:color="auto"/>
              <w:bottom w:val="single" w:sz="6" w:space="0" w:color="auto"/>
              <w:right w:val="nil"/>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position w:val="2"/>
                <w:sz w:val="14"/>
                <w:szCs w:val="14"/>
                <w:lang w:val="es-ES_tradnl"/>
              </w:rPr>
            </w:pPr>
            <w:r w:rsidRPr="00125F93">
              <w:rPr>
                <w:i/>
                <w:iCs/>
                <w:sz w:val="14"/>
                <w:szCs w:val="14"/>
                <w:lang w:val="es-ES_tradnl"/>
              </w:rPr>
              <w:t>N</w:t>
            </w:r>
            <w:r w:rsidRPr="00125F93">
              <w:rPr>
                <w:i/>
                <w:iCs/>
                <w:position w:val="-4"/>
                <w:sz w:val="12"/>
                <w:szCs w:val="12"/>
              </w:rPr>
              <w:t>L</w:t>
            </w:r>
            <w:r w:rsidRPr="00125F93">
              <w:rPr>
                <w:sz w:val="14"/>
                <w:szCs w:val="14"/>
                <w:lang w:val="es-ES_tradnl"/>
              </w:rPr>
              <w:t xml:space="preserve"> (dB)</w:t>
            </w:r>
          </w:p>
        </w:tc>
        <w:tc>
          <w:tcPr>
            <w:tcW w:w="299" w:type="dxa"/>
            <w:tcBorders>
              <w:top w:val="single" w:sz="6" w:space="0" w:color="auto"/>
              <w:left w:val="nil"/>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lang w:val="es-ES_tradnl"/>
              </w:rPr>
            </w:pPr>
          </w:p>
        </w:tc>
        <w:tc>
          <w:tcPr>
            <w:tcW w:w="869" w:type="dxa"/>
            <w:gridSpan w:val="2"/>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0</w:t>
            </w:r>
          </w:p>
        </w:tc>
        <w:tc>
          <w:tcPr>
            <w:tcW w:w="73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64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0</w:t>
            </w: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0</w:t>
            </w:r>
          </w:p>
        </w:tc>
        <w:tc>
          <w:tcPr>
            <w:tcW w:w="69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82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0</w:t>
            </w:r>
          </w:p>
        </w:tc>
        <w:tc>
          <w:tcPr>
            <w:tcW w:w="74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76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0</w:t>
            </w:r>
          </w:p>
        </w:tc>
        <w:tc>
          <w:tcPr>
            <w:tcW w:w="82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0</w:t>
            </w: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961"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959"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0</w:t>
            </w:r>
          </w:p>
        </w:tc>
      </w:tr>
      <w:tr w:rsidR="00D864AF" w:rsidRPr="00125F93" w:rsidTr="00415337">
        <w:trPr>
          <w:gridAfter w:val="1"/>
          <w:wAfter w:w="31" w:type="dxa"/>
          <w:cantSplit/>
          <w:jc w:val="center"/>
        </w:trPr>
        <w:tc>
          <w:tcPr>
            <w:tcW w:w="1373" w:type="dxa"/>
            <w:vMerge/>
            <w:tcBorders>
              <w:top w:val="nil"/>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lang w:val="es-ES_tradnl"/>
              </w:rPr>
            </w:pPr>
          </w:p>
        </w:tc>
        <w:tc>
          <w:tcPr>
            <w:tcW w:w="1032" w:type="dxa"/>
            <w:tcBorders>
              <w:top w:val="single" w:sz="6" w:space="0" w:color="auto"/>
              <w:left w:val="single" w:sz="6" w:space="0" w:color="auto"/>
              <w:bottom w:val="single" w:sz="6" w:space="0" w:color="auto"/>
              <w:right w:val="nil"/>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position w:val="2"/>
                <w:sz w:val="14"/>
                <w:szCs w:val="14"/>
                <w:lang w:val="es-ES_tradnl"/>
              </w:rPr>
            </w:pPr>
            <w:r w:rsidRPr="00125F93">
              <w:rPr>
                <w:i/>
                <w:iCs/>
                <w:sz w:val="14"/>
                <w:szCs w:val="14"/>
                <w:lang w:val="es-ES_tradnl"/>
              </w:rPr>
              <w:t>M</w:t>
            </w:r>
            <w:r w:rsidRPr="00125F93">
              <w:rPr>
                <w:i/>
                <w:iCs/>
                <w:position w:val="-4"/>
                <w:sz w:val="12"/>
                <w:szCs w:val="12"/>
              </w:rPr>
              <w:t>s</w:t>
            </w:r>
            <w:r w:rsidRPr="0032713D">
              <w:t xml:space="preserve"> </w:t>
            </w:r>
            <w:r w:rsidRPr="00125F93">
              <w:rPr>
                <w:sz w:val="14"/>
                <w:szCs w:val="14"/>
                <w:lang w:val="es-ES_tradnl"/>
              </w:rPr>
              <w:t>(dB)</w:t>
            </w:r>
          </w:p>
        </w:tc>
        <w:tc>
          <w:tcPr>
            <w:tcW w:w="299" w:type="dxa"/>
            <w:tcBorders>
              <w:top w:val="single" w:sz="6" w:space="0" w:color="auto"/>
              <w:left w:val="nil"/>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lang w:val="es-ES_tradnl"/>
              </w:rPr>
            </w:pPr>
          </w:p>
        </w:tc>
        <w:tc>
          <w:tcPr>
            <w:tcW w:w="869" w:type="dxa"/>
            <w:gridSpan w:val="2"/>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1</w:t>
            </w:r>
          </w:p>
        </w:tc>
        <w:tc>
          <w:tcPr>
            <w:tcW w:w="73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64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1</w:t>
            </w: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1</w:t>
            </w:r>
          </w:p>
        </w:tc>
        <w:tc>
          <w:tcPr>
            <w:tcW w:w="69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82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4.3</w:t>
            </w:r>
          </w:p>
        </w:tc>
        <w:tc>
          <w:tcPr>
            <w:tcW w:w="74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76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1</w:t>
            </w:r>
          </w:p>
        </w:tc>
        <w:tc>
          <w:tcPr>
            <w:tcW w:w="82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1</w:t>
            </w: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961"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959"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1</w:t>
            </w:r>
          </w:p>
        </w:tc>
      </w:tr>
      <w:tr w:rsidR="00D864AF" w:rsidRPr="00125F93" w:rsidTr="00415337">
        <w:trPr>
          <w:gridAfter w:val="1"/>
          <w:wAfter w:w="31" w:type="dxa"/>
          <w:cantSplit/>
          <w:jc w:val="center"/>
        </w:trPr>
        <w:tc>
          <w:tcPr>
            <w:tcW w:w="1373" w:type="dxa"/>
            <w:vMerge/>
            <w:tcBorders>
              <w:top w:val="nil"/>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lang w:val="es-ES_tradnl"/>
              </w:rPr>
            </w:pPr>
          </w:p>
        </w:tc>
        <w:tc>
          <w:tcPr>
            <w:tcW w:w="1032" w:type="dxa"/>
            <w:tcBorders>
              <w:top w:val="single" w:sz="6" w:space="0" w:color="auto"/>
              <w:left w:val="single" w:sz="6" w:space="0" w:color="auto"/>
              <w:bottom w:val="single" w:sz="6" w:space="0" w:color="auto"/>
              <w:right w:val="nil"/>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position w:val="2"/>
                <w:sz w:val="14"/>
                <w:szCs w:val="14"/>
                <w:lang w:val="es-ES_tradnl"/>
              </w:rPr>
            </w:pPr>
            <w:r w:rsidRPr="00125F93">
              <w:rPr>
                <w:i/>
                <w:iCs/>
                <w:sz w:val="14"/>
                <w:szCs w:val="14"/>
                <w:lang w:val="es-ES_tradnl"/>
              </w:rPr>
              <w:t>W</w:t>
            </w:r>
            <w:r w:rsidRPr="00125F93">
              <w:rPr>
                <w:sz w:val="14"/>
                <w:szCs w:val="14"/>
                <w:lang w:val="es-ES_tradnl"/>
              </w:rPr>
              <w:t xml:space="preserve"> (dB)</w:t>
            </w:r>
          </w:p>
        </w:tc>
        <w:tc>
          <w:tcPr>
            <w:tcW w:w="299" w:type="dxa"/>
            <w:tcBorders>
              <w:top w:val="single" w:sz="6" w:space="0" w:color="auto"/>
              <w:left w:val="nil"/>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lang w:val="es-ES_tradnl"/>
              </w:rPr>
            </w:pPr>
          </w:p>
        </w:tc>
        <w:tc>
          <w:tcPr>
            <w:tcW w:w="869" w:type="dxa"/>
            <w:gridSpan w:val="2"/>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0</w:t>
            </w:r>
          </w:p>
        </w:tc>
        <w:tc>
          <w:tcPr>
            <w:tcW w:w="73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0</w:t>
            </w: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0</w:t>
            </w:r>
          </w:p>
        </w:tc>
        <w:tc>
          <w:tcPr>
            <w:tcW w:w="69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0</w:t>
            </w:r>
          </w:p>
        </w:tc>
        <w:tc>
          <w:tcPr>
            <w:tcW w:w="74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0</w:t>
            </w:r>
          </w:p>
        </w:tc>
        <w:tc>
          <w:tcPr>
            <w:tcW w:w="82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0</w:t>
            </w: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0</w:t>
            </w:r>
          </w:p>
        </w:tc>
      </w:tr>
      <w:tr w:rsidR="00D864AF" w:rsidRPr="00125F93" w:rsidTr="00415337">
        <w:trPr>
          <w:gridAfter w:val="1"/>
          <w:wAfter w:w="31" w:type="dxa"/>
          <w:cantSplit/>
          <w:jc w:val="center"/>
        </w:trPr>
        <w:tc>
          <w:tcPr>
            <w:tcW w:w="1373" w:type="dxa"/>
            <w:vMerge w:val="restart"/>
            <w:tcBorders>
              <w:top w:val="single" w:sz="6" w:space="0" w:color="auto"/>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rPr>
            </w:pPr>
            <w:r w:rsidRPr="00125F93">
              <w:rPr>
                <w:sz w:val="14"/>
                <w:szCs w:val="14"/>
              </w:rPr>
              <w:t>Terrestrial station parameters</w:t>
            </w:r>
          </w:p>
        </w:tc>
        <w:tc>
          <w:tcPr>
            <w:tcW w:w="1032" w:type="dxa"/>
            <w:vMerge w:val="restart"/>
            <w:tcBorders>
              <w:top w:val="single" w:sz="6" w:space="0" w:color="auto"/>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position w:val="2"/>
                <w:sz w:val="14"/>
                <w:szCs w:val="14"/>
                <w:lang w:val="es-ES_tradnl"/>
              </w:rPr>
            </w:pPr>
            <w:r w:rsidRPr="00125F93">
              <w:rPr>
                <w:i/>
                <w:iCs/>
                <w:sz w:val="14"/>
                <w:szCs w:val="14"/>
                <w:lang w:val="es-ES_tradnl"/>
              </w:rPr>
              <w:t>E</w:t>
            </w:r>
            <w:r w:rsidRPr="00125F93">
              <w:rPr>
                <w:sz w:val="14"/>
                <w:szCs w:val="14"/>
                <w:lang w:val="es-ES_tradnl"/>
              </w:rPr>
              <w:t> (dBW)</w:t>
            </w:r>
            <w:r w:rsidRPr="00125F93">
              <w:rPr>
                <w:sz w:val="14"/>
                <w:szCs w:val="14"/>
                <w:lang w:val="es-ES_tradnl"/>
              </w:rPr>
              <w:br/>
              <w:t xml:space="preserve">in </w:t>
            </w:r>
            <w:r w:rsidRPr="00125F93">
              <w:rPr>
                <w:i/>
                <w:iCs/>
                <w:sz w:val="14"/>
                <w:szCs w:val="14"/>
                <w:lang w:val="es-ES_tradnl"/>
              </w:rPr>
              <w:t xml:space="preserve">B  </w:t>
            </w:r>
            <w:r w:rsidRPr="00125F93">
              <w:rPr>
                <w:position w:val="4"/>
                <w:sz w:val="12"/>
                <w:szCs w:val="12"/>
              </w:rPr>
              <w:t>3</w:t>
            </w:r>
          </w:p>
        </w:tc>
        <w:tc>
          <w:tcPr>
            <w:tcW w:w="299"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lang w:val="es-ES_tradnl"/>
              </w:rPr>
            </w:pPr>
            <w:r w:rsidRPr="00125F93">
              <w:rPr>
                <w:sz w:val="14"/>
                <w:szCs w:val="14"/>
                <w:lang w:val="es-ES_tradnl"/>
              </w:rPr>
              <w:t>A</w:t>
            </w:r>
          </w:p>
        </w:tc>
        <w:tc>
          <w:tcPr>
            <w:tcW w:w="869" w:type="dxa"/>
            <w:gridSpan w:val="2"/>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w:t>
            </w:r>
          </w:p>
        </w:tc>
        <w:tc>
          <w:tcPr>
            <w:tcW w:w="73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64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w:t>
            </w: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15</w:t>
            </w:r>
          </w:p>
        </w:tc>
        <w:tc>
          <w:tcPr>
            <w:tcW w:w="69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82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74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76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w:t>
            </w:r>
          </w:p>
        </w:tc>
        <w:tc>
          <w:tcPr>
            <w:tcW w:w="82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w:t>
            </w: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del w:id="45" w:author="Author">
              <w:r w:rsidRPr="00125F93" w:rsidDel="00125F93">
                <w:rPr>
                  <w:sz w:val="14"/>
                  <w:szCs w:val="14"/>
                  <w:lang w:val="es-ES_tradnl"/>
                </w:rPr>
                <w:delText>5</w:delText>
              </w:r>
            </w:del>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961"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38</w:t>
            </w:r>
          </w:p>
        </w:tc>
        <w:tc>
          <w:tcPr>
            <w:tcW w:w="959"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 xml:space="preserve">37  </w:t>
            </w:r>
            <w:r w:rsidRPr="00125F93">
              <w:rPr>
                <w:position w:val="4"/>
                <w:sz w:val="12"/>
                <w:szCs w:val="12"/>
                <w:lang w:val="es-ES_tradnl"/>
              </w:rPr>
              <w:t>4</w:t>
            </w:r>
          </w:p>
        </w:tc>
      </w:tr>
      <w:tr w:rsidR="00D864AF" w:rsidRPr="00125F93" w:rsidTr="00415337">
        <w:trPr>
          <w:gridAfter w:val="1"/>
          <w:wAfter w:w="31" w:type="dxa"/>
          <w:cantSplit/>
          <w:jc w:val="center"/>
        </w:trPr>
        <w:tc>
          <w:tcPr>
            <w:tcW w:w="1373" w:type="dxa"/>
            <w:vMerge/>
            <w:tcBorders>
              <w:top w:val="nil"/>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lang w:val="es-ES_tradnl"/>
              </w:rPr>
            </w:pPr>
          </w:p>
        </w:tc>
        <w:tc>
          <w:tcPr>
            <w:tcW w:w="1032" w:type="dxa"/>
            <w:vMerge/>
            <w:tcBorders>
              <w:top w:val="nil"/>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position w:val="2"/>
                <w:sz w:val="14"/>
                <w:szCs w:val="14"/>
                <w:lang w:val="es-ES_tradnl"/>
              </w:rPr>
            </w:pPr>
          </w:p>
        </w:tc>
        <w:tc>
          <w:tcPr>
            <w:tcW w:w="299"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lang w:val="es-ES_tradnl"/>
              </w:rPr>
            </w:pPr>
            <w:r w:rsidRPr="00125F93">
              <w:rPr>
                <w:sz w:val="14"/>
                <w:szCs w:val="14"/>
                <w:lang w:val="es-ES_tradnl"/>
              </w:rPr>
              <w:t>N</w:t>
            </w:r>
          </w:p>
        </w:tc>
        <w:tc>
          <w:tcPr>
            <w:tcW w:w="869" w:type="dxa"/>
            <w:gridSpan w:val="2"/>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w:t>
            </w:r>
          </w:p>
        </w:tc>
        <w:tc>
          <w:tcPr>
            <w:tcW w:w="73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64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w:t>
            </w: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15</w:t>
            </w:r>
          </w:p>
        </w:tc>
        <w:tc>
          <w:tcPr>
            <w:tcW w:w="69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82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74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76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w:t>
            </w:r>
          </w:p>
        </w:tc>
        <w:tc>
          <w:tcPr>
            <w:tcW w:w="82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w:t>
            </w: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del w:id="46" w:author="Author">
              <w:r w:rsidRPr="00125F93" w:rsidDel="00125F93">
                <w:rPr>
                  <w:sz w:val="14"/>
                  <w:szCs w:val="14"/>
                  <w:lang w:val="es-ES_tradnl"/>
                </w:rPr>
                <w:delText>5</w:delText>
              </w:r>
            </w:del>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961"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38</w:t>
            </w:r>
          </w:p>
        </w:tc>
        <w:tc>
          <w:tcPr>
            <w:tcW w:w="959"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37</w:t>
            </w:r>
          </w:p>
        </w:tc>
      </w:tr>
      <w:tr w:rsidR="00D864AF" w:rsidRPr="00125F93" w:rsidTr="00415337">
        <w:trPr>
          <w:gridAfter w:val="1"/>
          <w:wAfter w:w="31" w:type="dxa"/>
          <w:cantSplit/>
          <w:jc w:val="center"/>
        </w:trPr>
        <w:tc>
          <w:tcPr>
            <w:tcW w:w="1373" w:type="dxa"/>
            <w:vMerge/>
            <w:tcBorders>
              <w:top w:val="nil"/>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lang w:val="es-ES_tradnl"/>
              </w:rPr>
            </w:pPr>
          </w:p>
        </w:tc>
        <w:tc>
          <w:tcPr>
            <w:tcW w:w="1032" w:type="dxa"/>
            <w:vMerge w:val="restart"/>
            <w:tcBorders>
              <w:top w:val="single" w:sz="6" w:space="0" w:color="auto"/>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position w:val="2"/>
                <w:sz w:val="14"/>
                <w:szCs w:val="14"/>
                <w:lang w:val="fr-CH"/>
              </w:rPr>
            </w:pPr>
            <w:r w:rsidRPr="00125F93">
              <w:rPr>
                <w:i/>
                <w:iCs/>
                <w:sz w:val="14"/>
                <w:szCs w:val="14"/>
                <w:lang w:val="fr-CH"/>
              </w:rPr>
              <w:t>P</w:t>
            </w:r>
            <w:r w:rsidRPr="00125F93">
              <w:rPr>
                <w:i/>
                <w:iCs/>
                <w:position w:val="-4"/>
                <w:sz w:val="12"/>
                <w:szCs w:val="12"/>
                <w:lang w:val="fr-CH"/>
              </w:rPr>
              <w:t>t</w:t>
            </w:r>
            <w:r w:rsidRPr="00125F93">
              <w:rPr>
                <w:sz w:val="14"/>
                <w:szCs w:val="14"/>
                <w:lang w:val="fr-CH"/>
              </w:rPr>
              <w:t xml:space="preserve"> (dBW) </w:t>
            </w:r>
            <w:r w:rsidRPr="00125F93">
              <w:rPr>
                <w:sz w:val="14"/>
                <w:szCs w:val="14"/>
                <w:lang w:val="fr-CH"/>
              </w:rPr>
              <w:br/>
              <w:t>i</w:t>
            </w:r>
            <w:r w:rsidRPr="00125F93">
              <w:rPr>
                <w:sz w:val="14"/>
                <w:szCs w:val="14"/>
                <w:lang w:val="es-ES_tradnl"/>
              </w:rPr>
              <w:t xml:space="preserve">n </w:t>
            </w:r>
            <w:r w:rsidRPr="00125F93">
              <w:rPr>
                <w:i/>
                <w:iCs/>
                <w:sz w:val="14"/>
                <w:szCs w:val="14"/>
                <w:lang w:val="es-ES_tradnl"/>
              </w:rPr>
              <w:t>B</w:t>
            </w:r>
          </w:p>
        </w:tc>
        <w:tc>
          <w:tcPr>
            <w:tcW w:w="299"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rPr>
            </w:pPr>
            <w:r w:rsidRPr="00125F93">
              <w:rPr>
                <w:sz w:val="14"/>
                <w:szCs w:val="14"/>
              </w:rPr>
              <w:t>A</w:t>
            </w:r>
          </w:p>
        </w:tc>
        <w:tc>
          <w:tcPr>
            <w:tcW w:w="869" w:type="dxa"/>
            <w:gridSpan w:val="2"/>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w:t>
            </w:r>
          </w:p>
        </w:tc>
        <w:tc>
          <w:tcPr>
            <w:tcW w:w="73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64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w:t>
            </w: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–1</w:t>
            </w:r>
          </w:p>
        </w:tc>
        <w:tc>
          <w:tcPr>
            <w:tcW w:w="69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82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74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76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w:t>
            </w:r>
          </w:p>
        </w:tc>
        <w:tc>
          <w:tcPr>
            <w:tcW w:w="82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w:t>
            </w: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del w:id="47" w:author="Author">
              <w:r w:rsidRPr="00125F93" w:rsidDel="00125F93">
                <w:rPr>
                  <w:sz w:val="14"/>
                  <w:szCs w:val="14"/>
                  <w:lang w:val="es-ES_tradnl"/>
                </w:rPr>
                <w:delText>–11</w:delText>
              </w:r>
            </w:del>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961"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3</w:t>
            </w:r>
          </w:p>
        </w:tc>
        <w:tc>
          <w:tcPr>
            <w:tcW w:w="959"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0</w:t>
            </w:r>
          </w:p>
        </w:tc>
      </w:tr>
      <w:tr w:rsidR="00D864AF" w:rsidRPr="00125F93" w:rsidTr="00415337">
        <w:trPr>
          <w:gridAfter w:val="1"/>
          <w:wAfter w:w="31" w:type="dxa"/>
          <w:cantSplit/>
          <w:jc w:val="center"/>
        </w:trPr>
        <w:tc>
          <w:tcPr>
            <w:tcW w:w="1373" w:type="dxa"/>
            <w:vMerge/>
            <w:tcBorders>
              <w:top w:val="nil"/>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lang w:val="es-ES_tradnl"/>
              </w:rPr>
            </w:pPr>
          </w:p>
        </w:tc>
        <w:tc>
          <w:tcPr>
            <w:tcW w:w="1032" w:type="dxa"/>
            <w:vMerge/>
            <w:tcBorders>
              <w:top w:val="nil"/>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position w:val="2"/>
                <w:sz w:val="14"/>
                <w:szCs w:val="14"/>
                <w:lang w:val="es-ES_tradnl"/>
              </w:rPr>
            </w:pPr>
          </w:p>
        </w:tc>
        <w:tc>
          <w:tcPr>
            <w:tcW w:w="299"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lang w:val="es-ES_tradnl"/>
              </w:rPr>
            </w:pPr>
            <w:r w:rsidRPr="00125F93">
              <w:rPr>
                <w:sz w:val="14"/>
                <w:szCs w:val="14"/>
                <w:lang w:val="es-ES_tradnl"/>
              </w:rPr>
              <w:t>N</w:t>
            </w:r>
          </w:p>
        </w:tc>
        <w:tc>
          <w:tcPr>
            <w:tcW w:w="869" w:type="dxa"/>
            <w:gridSpan w:val="2"/>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w:t>
            </w:r>
          </w:p>
        </w:tc>
        <w:tc>
          <w:tcPr>
            <w:tcW w:w="73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64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w:t>
            </w: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–1</w:t>
            </w:r>
          </w:p>
        </w:tc>
        <w:tc>
          <w:tcPr>
            <w:tcW w:w="69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82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74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76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w:t>
            </w:r>
          </w:p>
        </w:tc>
        <w:tc>
          <w:tcPr>
            <w:tcW w:w="82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w:t>
            </w: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del w:id="48" w:author="Author">
              <w:r w:rsidRPr="00125F93" w:rsidDel="00125F93">
                <w:rPr>
                  <w:sz w:val="14"/>
                  <w:szCs w:val="14"/>
                  <w:lang w:val="es-ES_tradnl"/>
                </w:rPr>
                <w:delText>–11</w:delText>
              </w:r>
            </w:del>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823" w:type="dxa"/>
            <w:tcBorders>
              <w:top w:val="single" w:sz="6" w:space="0" w:color="auto"/>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961" w:type="dxa"/>
            <w:tcBorders>
              <w:top w:val="single" w:sz="6" w:space="0" w:color="auto"/>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3</w:t>
            </w:r>
          </w:p>
        </w:tc>
        <w:tc>
          <w:tcPr>
            <w:tcW w:w="959" w:type="dxa"/>
            <w:tcBorders>
              <w:top w:val="single" w:sz="6" w:space="0" w:color="auto"/>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0</w:t>
            </w:r>
          </w:p>
        </w:tc>
      </w:tr>
      <w:tr w:rsidR="00D864AF" w:rsidRPr="00125F93" w:rsidTr="00415337">
        <w:trPr>
          <w:gridAfter w:val="1"/>
          <w:wAfter w:w="31" w:type="dxa"/>
          <w:cantSplit/>
          <w:jc w:val="center"/>
        </w:trPr>
        <w:tc>
          <w:tcPr>
            <w:tcW w:w="1373" w:type="dxa"/>
            <w:vMerge/>
            <w:tcBorders>
              <w:top w:val="nil"/>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lang w:val="es-ES_tradnl"/>
              </w:rPr>
            </w:pPr>
          </w:p>
        </w:tc>
        <w:tc>
          <w:tcPr>
            <w:tcW w:w="1032" w:type="dxa"/>
            <w:tcBorders>
              <w:top w:val="single" w:sz="6" w:space="0" w:color="auto"/>
              <w:left w:val="single" w:sz="6" w:space="0" w:color="auto"/>
              <w:bottom w:val="single" w:sz="6" w:space="0" w:color="auto"/>
              <w:right w:val="nil"/>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position w:val="2"/>
                <w:sz w:val="14"/>
                <w:szCs w:val="14"/>
                <w:lang w:val="es-ES_tradnl"/>
              </w:rPr>
            </w:pPr>
            <w:r w:rsidRPr="00125F93">
              <w:rPr>
                <w:i/>
                <w:iCs/>
                <w:sz w:val="14"/>
                <w:szCs w:val="14"/>
                <w:lang w:val="es-ES_tradnl"/>
              </w:rPr>
              <w:t>G</w:t>
            </w:r>
            <w:r w:rsidRPr="00125F93">
              <w:rPr>
                <w:i/>
                <w:iCs/>
                <w:position w:val="-4"/>
                <w:sz w:val="12"/>
                <w:szCs w:val="12"/>
              </w:rPr>
              <w:t>x</w:t>
            </w:r>
            <w:r w:rsidRPr="00125F93">
              <w:rPr>
                <w:sz w:val="14"/>
                <w:szCs w:val="14"/>
                <w:lang w:val="es-ES_tradnl"/>
              </w:rPr>
              <w:t xml:space="preserve"> (dBi)</w:t>
            </w:r>
          </w:p>
        </w:tc>
        <w:tc>
          <w:tcPr>
            <w:tcW w:w="299" w:type="dxa"/>
            <w:tcBorders>
              <w:top w:val="single" w:sz="6" w:space="0" w:color="auto"/>
              <w:left w:val="nil"/>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lang w:val="es-ES_tradnl"/>
              </w:rPr>
            </w:pPr>
          </w:p>
        </w:tc>
        <w:tc>
          <w:tcPr>
            <w:tcW w:w="869" w:type="dxa"/>
            <w:gridSpan w:val="2"/>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w:t>
            </w:r>
          </w:p>
        </w:tc>
        <w:tc>
          <w:tcPr>
            <w:tcW w:w="73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64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w:t>
            </w: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16</w:t>
            </w:r>
          </w:p>
        </w:tc>
        <w:tc>
          <w:tcPr>
            <w:tcW w:w="69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82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74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76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w:t>
            </w:r>
          </w:p>
        </w:tc>
        <w:tc>
          <w:tcPr>
            <w:tcW w:w="82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w:t>
            </w:r>
          </w:p>
        </w:tc>
        <w:tc>
          <w:tcPr>
            <w:tcW w:w="823" w:type="dxa"/>
            <w:tcBorders>
              <w:top w:val="single" w:sz="6" w:space="0" w:color="auto"/>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del w:id="49" w:author="Author">
              <w:r w:rsidRPr="00125F93" w:rsidDel="00125F93">
                <w:rPr>
                  <w:sz w:val="14"/>
                  <w:szCs w:val="14"/>
                  <w:lang w:val="es-ES_tradnl"/>
                </w:rPr>
                <w:delText>16</w:delText>
              </w:r>
            </w:del>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p>
        </w:tc>
        <w:tc>
          <w:tcPr>
            <w:tcW w:w="961"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35</w:t>
            </w:r>
          </w:p>
        </w:tc>
        <w:tc>
          <w:tcPr>
            <w:tcW w:w="959"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lang w:val="es-ES_tradnl"/>
              </w:rPr>
            </w:pPr>
            <w:r w:rsidRPr="00125F93">
              <w:rPr>
                <w:sz w:val="14"/>
                <w:szCs w:val="14"/>
                <w:lang w:val="es-ES_tradnl"/>
              </w:rPr>
              <w:t>37</w:t>
            </w:r>
          </w:p>
        </w:tc>
      </w:tr>
      <w:tr w:rsidR="00D864AF" w:rsidRPr="00125F93" w:rsidTr="00415337">
        <w:trPr>
          <w:gridAfter w:val="1"/>
          <w:wAfter w:w="31" w:type="dxa"/>
          <w:cantSplit/>
          <w:jc w:val="center"/>
        </w:trPr>
        <w:tc>
          <w:tcPr>
            <w:tcW w:w="137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rPr>
            </w:pPr>
            <w:r w:rsidRPr="00125F93">
              <w:rPr>
                <w:sz w:val="14"/>
                <w:szCs w:val="14"/>
              </w:rPr>
              <w:t>Reference bandwidth</w:t>
            </w:r>
          </w:p>
        </w:tc>
        <w:tc>
          <w:tcPr>
            <w:tcW w:w="1032" w:type="dxa"/>
            <w:tcBorders>
              <w:top w:val="single" w:sz="6" w:space="0" w:color="auto"/>
              <w:left w:val="single" w:sz="6" w:space="0" w:color="auto"/>
              <w:bottom w:val="single" w:sz="6" w:space="0" w:color="auto"/>
              <w:right w:val="nil"/>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position w:val="2"/>
                <w:sz w:val="14"/>
                <w:szCs w:val="14"/>
                <w:lang w:val="es-ES_tradnl"/>
              </w:rPr>
            </w:pPr>
            <w:r w:rsidRPr="00125F93">
              <w:rPr>
                <w:i/>
                <w:iCs/>
                <w:sz w:val="14"/>
                <w:szCs w:val="14"/>
                <w:lang w:val="es-ES_tradnl"/>
              </w:rPr>
              <w:t>B</w:t>
            </w:r>
            <w:r w:rsidRPr="00125F93">
              <w:rPr>
                <w:sz w:val="14"/>
                <w:szCs w:val="14"/>
                <w:lang w:val="es-ES_tradnl"/>
              </w:rPr>
              <w:t xml:space="preserve"> (Hz)</w:t>
            </w:r>
          </w:p>
        </w:tc>
        <w:tc>
          <w:tcPr>
            <w:tcW w:w="299" w:type="dxa"/>
            <w:tcBorders>
              <w:top w:val="single" w:sz="6" w:space="0" w:color="auto"/>
              <w:left w:val="nil"/>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lang w:val="es-ES_tradnl"/>
              </w:rPr>
            </w:pPr>
          </w:p>
        </w:tc>
        <w:tc>
          <w:tcPr>
            <w:tcW w:w="869" w:type="dxa"/>
            <w:gridSpan w:val="2"/>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1</w:t>
            </w:r>
          </w:p>
        </w:tc>
        <w:tc>
          <w:tcPr>
            <w:tcW w:w="73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1</w:t>
            </w: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10</w:t>
            </w:r>
            <w:r w:rsidRPr="00125F93">
              <w:rPr>
                <w:position w:val="4"/>
                <w:sz w:val="12"/>
                <w:szCs w:val="12"/>
              </w:rPr>
              <w:t>3</w:t>
            </w:r>
          </w:p>
        </w:tc>
        <w:tc>
          <w:tcPr>
            <w:tcW w:w="69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827" w:type="dxa"/>
            <w:tcBorders>
              <w:top w:val="single" w:sz="6" w:space="0" w:color="auto"/>
              <w:left w:val="single" w:sz="6" w:space="0" w:color="auto"/>
              <w:bottom w:val="nil"/>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177.5 × 10</w:t>
            </w:r>
            <w:r w:rsidRPr="00125F93">
              <w:rPr>
                <w:position w:val="4"/>
                <w:sz w:val="12"/>
                <w:szCs w:val="12"/>
              </w:rPr>
              <w:t>3</w:t>
            </w:r>
          </w:p>
        </w:tc>
        <w:tc>
          <w:tcPr>
            <w:tcW w:w="74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1</w:t>
            </w:r>
          </w:p>
        </w:tc>
        <w:tc>
          <w:tcPr>
            <w:tcW w:w="82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1</w:t>
            </w: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del w:id="50" w:author="Author">
              <w:r w:rsidRPr="00125F93" w:rsidDel="00125F93">
                <w:rPr>
                  <w:sz w:val="14"/>
                  <w:szCs w:val="14"/>
                </w:rPr>
                <w:delText>85</w:delText>
              </w:r>
            </w:del>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25 × 10</w:t>
            </w:r>
            <w:r w:rsidRPr="00125F93">
              <w:rPr>
                <w:position w:val="4"/>
                <w:sz w:val="12"/>
                <w:szCs w:val="12"/>
              </w:rPr>
              <w:t>3</w:t>
            </w:r>
          </w:p>
        </w:tc>
        <w:tc>
          <w:tcPr>
            <w:tcW w:w="959"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4"/>
                <w:szCs w:val="14"/>
              </w:rPr>
              <w:t>4 × 10</w:t>
            </w:r>
            <w:r w:rsidRPr="00125F93">
              <w:rPr>
                <w:position w:val="4"/>
                <w:sz w:val="12"/>
                <w:szCs w:val="12"/>
              </w:rPr>
              <w:t>3</w:t>
            </w:r>
          </w:p>
        </w:tc>
      </w:tr>
      <w:tr w:rsidR="00D864AF" w:rsidRPr="00125F93" w:rsidTr="00415337">
        <w:trPr>
          <w:gridAfter w:val="1"/>
          <w:wAfter w:w="31" w:type="dxa"/>
          <w:cantSplit/>
          <w:jc w:val="center"/>
        </w:trPr>
        <w:tc>
          <w:tcPr>
            <w:tcW w:w="137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rPr>
            </w:pPr>
            <w:r w:rsidRPr="00125F93">
              <w:rPr>
                <w:sz w:val="14"/>
                <w:szCs w:val="14"/>
              </w:rPr>
              <w:t>Permissible interference power</w:t>
            </w:r>
          </w:p>
        </w:tc>
        <w:tc>
          <w:tcPr>
            <w:tcW w:w="1032" w:type="dxa"/>
            <w:tcBorders>
              <w:top w:val="single" w:sz="6" w:space="0" w:color="auto"/>
              <w:left w:val="single" w:sz="6" w:space="0" w:color="auto"/>
              <w:bottom w:val="single" w:sz="6" w:space="0" w:color="auto"/>
              <w:right w:val="nil"/>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position w:val="2"/>
                <w:sz w:val="14"/>
                <w:szCs w:val="14"/>
                <w:lang w:val="es-ES_tradnl"/>
              </w:rPr>
            </w:pPr>
            <w:r w:rsidRPr="00125F93">
              <w:rPr>
                <w:i/>
                <w:iCs/>
                <w:sz w:val="14"/>
                <w:szCs w:val="14"/>
                <w:lang w:val="es-ES_tradnl"/>
              </w:rPr>
              <w:t>P</w:t>
            </w:r>
            <w:r w:rsidRPr="00125F93">
              <w:rPr>
                <w:i/>
                <w:iCs/>
                <w:position w:val="-4"/>
                <w:sz w:val="12"/>
                <w:szCs w:val="12"/>
              </w:rPr>
              <w:t>r</w:t>
            </w:r>
            <w:r w:rsidRPr="00125F93">
              <w:rPr>
                <w:sz w:val="14"/>
                <w:szCs w:val="14"/>
                <w:lang w:val="es-ES_tradnl"/>
              </w:rPr>
              <w:t>( </w:t>
            </w:r>
            <w:r w:rsidRPr="00125F93">
              <w:rPr>
                <w:i/>
                <w:iCs/>
                <w:sz w:val="14"/>
                <w:szCs w:val="14"/>
                <w:lang w:val="es-ES_tradnl"/>
              </w:rPr>
              <w:t>p</w:t>
            </w:r>
            <w:r w:rsidRPr="00125F93">
              <w:rPr>
                <w:sz w:val="14"/>
                <w:szCs w:val="14"/>
                <w:lang w:val="es-ES_tradnl"/>
              </w:rPr>
              <w:t>) (dBW)</w:t>
            </w:r>
            <w:r w:rsidRPr="00125F93">
              <w:rPr>
                <w:sz w:val="14"/>
                <w:szCs w:val="14"/>
                <w:lang w:val="es-ES_tradnl"/>
              </w:rPr>
              <w:br/>
              <w:t xml:space="preserve">in </w:t>
            </w:r>
            <w:r w:rsidRPr="00125F93">
              <w:rPr>
                <w:i/>
                <w:iCs/>
                <w:sz w:val="14"/>
                <w:szCs w:val="14"/>
                <w:lang w:val="es-ES_tradnl"/>
              </w:rPr>
              <w:t>B</w:t>
            </w:r>
          </w:p>
        </w:tc>
        <w:tc>
          <w:tcPr>
            <w:tcW w:w="299" w:type="dxa"/>
            <w:tcBorders>
              <w:top w:val="single" w:sz="6" w:space="0" w:color="auto"/>
              <w:left w:val="nil"/>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3"/>
                <w:szCs w:val="13"/>
              </w:rPr>
              <w:t>−</w:t>
            </w:r>
            <w:r w:rsidRPr="00125F93">
              <w:rPr>
                <w:sz w:val="14"/>
                <w:szCs w:val="14"/>
              </w:rPr>
              <w:t>199</w:t>
            </w:r>
          </w:p>
        </w:tc>
        <w:tc>
          <w:tcPr>
            <w:tcW w:w="73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3"/>
                <w:szCs w:val="13"/>
              </w:rPr>
              <w:t>−</w:t>
            </w:r>
            <w:r w:rsidRPr="00125F93">
              <w:rPr>
                <w:sz w:val="14"/>
                <w:szCs w:val="14"/>
              </w:rPr>
              <w:t>199</w:t>
            </w: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3"/>
                <w:szCs w:val="13"/>
              </w:rPr>
              <w:t>−</w:t>
            </w:r>
            <w:r w:rsidRPr="00125F93">
              <w:rPr>
                <w:sz w:val="14"/>
                <w:szCs w:val="14"/>
              </w:rPr>
              <w:t>173</w:t>
            </w:r>
          </w:p>
        </w:tc>
        <w:tc>
          <w:tcPr>
            <w:tcW w:w="690"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3"/>
                <w:szCs w:val="13"/>
              </w:rPr>
              <w:t>−</w:t>
            </w:r>
            <w:r w:rsidRPr="00125F93">
              <w:rPr>
                <w:sz w:val="14"/>
                <w:szCs w:val="14"/>
              </w:rPr>
              <w:t>148</w:t>
            </w:r>
          </w:p>
        </w:tc>
        <w:tc>
          <w:tcPr>
            <w:tcW w:w="74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3"/>
                <w:szCs w:val="13"/>
              </w:rPr>
              <w:t>−</w:t>
            </w:r>
            <w:r w:rsidRPr="00125F93">
              <w:rPr>
                <w:sz w:val="14"/>
                <w:szCs w:val="14"/>
              </w:rPr>
              <w:t>208</w:t>
            </w:r>
          </w:p>
        </w:tc>
        <w:tc>
          <w:tcPr>
            <w:tcW w:w="824"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3"/>
                <w:szCs w:val="13"/>
              </w:rPr>
              <w:t>−</w:t>
            </w:r>
            <w:r w:rsidRPr="00125F93">
              <w:rPr>
                <w:sz w:val="14"/>
                <w:szCs w:val="14"/>
              </w:rPr>
              <w:t>208</w:t>
            </w: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del w:id="51" w:author="Author">
              <w:r w:rsidRPr="00125F93" w:rsidDel="00125F93">
                <w:rPr>
                  <w:sz w:val="13"/>
                  <w:szCs w:val="13"/>
                </w:rPr>
                <w:delText>−</w:delText>
              </w:r>
              <w:r w:rsidRPr="00125F93" w:rsidDel="00125F93">
                <w:rPr>
                  <w:sz w:val="14"/>
                  <w:szCs w:val="14"/>
                </w:rPr>
                <w:delText>178</w:delText>
              </w:r>
            </w:del>
          </w:p>
        </w:tc>
        <w:tc>
          <w:tcPr>
            <w:tcW w:w="688"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rsidR="00D864AF" w:rsidRPr="00125F93" w:rsidRDefault="00D864AF" w:rsidP="004153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jc w:val="center"/>
              <w:rPr>
                <w:sz w:val="14"/>
                <w:szCs w:val="14"/>
              </w:rPr>
            </w:pPr>
            <w:r w:rsidRPr="00125F93">
              <w:rPr>
                <w:sz w:val="13"/>
                <w:szCs w:val="13"/>
              </w:rPr>
              <w:t>−</w:t>
            </w:r>
            <w:r w:rsidRPr="00125F93">
              <w:rPr>
                <w:sz w:val="14"/>
                <w:szCs w:val="14"/>
              </w:rPr>
              <w:t>176</w:t>
            </w:r>
          </w:p>
        </w:tc>
      </w:tr>
      <w:tr w:rsidR="00D864AF" w:rsidRPr="00125F93" w:rsidTr="00415337">
        <w:trPr>
          <w:cantSplit/>
          <w:trHeight w:val="1451"/>
          <w:jc w:val="center"/>
        </w:trPr>
        <w:tc>
          <w:tcPr>
            <w:tcW w:w="14459" w:type="dxa"/>
            <w:gridSpan w:val="20"/>
            <w:tcBorders>
              <w:top w:val="single" w:sz="6" w:space="0" w:color="auto"/>
              <w:left w:val="nil"/>
              <w:bottom w:val="nil"/>
              <w:right w:val="nil"/>
            </w:tcBorders>
          </w:tcPr>
          <w:p w:rsidR="00D864AF" w:rsidRPr="00125F93" w:rsidRDefault="00D864AF" w:rsidP="00415337">
            <w:pPr>
              <w:spacing w:before="80"/>
              <w:ind w:left="284" w:hanging="284"/>
              <w:rPr>
                <w:sz w:val="14"/>
                <w:szCs w:val="14"/>
              </w:rPr>
            </w:pPr>
            <w:r w:rsidRPr="00125F93">
              <w:rPr>
                <w:position w:val="6"/>
                <w:sz w:val="12"/>
                <w:szCs w:val="12"/>
              </w:rPr>
              <w:t>1</w:t>
            </w:r>
            <w:r w:rsidRPr="00125F93">
              <w:rPr>
                <w:sz w:val="14"/>
                <w:szCs w:val="14"/>
              </w:rPr>
              <w:tab/>
              <w:t>In the band 2 160-2 200 MHz, the terrestrial station parameters of line-of-sight radio-relay systems have been used. If an administration believes that, in this band transhorizon systems need to be considered, the parameters associated with the frequency band 2 500-2 690 MHz may be used to determine the coordination area.</w:t>
            </w:r>
          </w:p>
          <w:p w:rsidR="00D864AF" w:rsidRPr="00125F93" w:rsidRDefault="00D864AF" w:rsidP="00415337">
            <w:pPr>
              <w:spacing w:before="80"/>
              <w:ind w:left="284" w:hanging="284"/>
              <w:rPr>
                <w:sz w:val="14"/>
                <w:szCs w:val="14"/>
                <w:lang w:val="fr-CH"/>
              </w:rPr>
            </w:pPr>
            <w:r w:rsidRPr="00125F93">
              <w:rPr>
                <w:position w:val="6"/>
                <w:sz w:val="12"/>
                <w:szCs w:val="12"/>
                <w:lang w:val="fr-CH"/>
              </w:rPr>
              <w:t>2</w:t>
            </w:r>
            <w:r w:rsidRPr="00125F93">
              <w:rPr>
                <w:sz w:val="14"/>
                <w:szCs w:val="14"/>
                <w:lang w:val="fr-CH"/>
              </w:rPr>
              <w:tab/>
              <w:t>A: analogue modulation; N: digital modulation.</w:t>
            </w:r>
          </w:p>
          <w:p w:rsidR="00D864AF" w:rsidRPr="00125F93" w:rsidRDefault="00D864AF" w:rsidP="00415337">
            <w:pPr>
              <w:spacing w:before="80"/>
              <w:ind w:left="284" w:hanging="284"/>
              <w:rPr>
                <w:sz w:val="14"/>
                <w:szCs w:val="14"/>
              </w:rPr>
            </w:pPr>
            <w:r w:rsidRPr="00125F93">
              <w:rPr>
                <w:position w:val="6"/>
                <w:sz w:val="12"/>
                <w:szCs w:val="12"/>
              </w:rPr>
              <w:t>3</w:t>
            </w:r>
            <w:r w:rsidRPr="00125F93">
              <w:rPr>
                <w:sz w:val="14"/>
                <w:szCs w:val="14"/>
              </w:rPr>
              <w:tab/>
            </w:r>
            <w:r w:rsidRPr="00125F93">
              <w:rPr>
                <w:i/>
                <w:iCs/>
                <w:sz w:val="14"/>
                <w:szCs w:val="14"/>
              </w:rPr>
              <w:t>E</w:t>
            </w:r>
            <w:r w:rsidRPr="00125F93">
              <w:rPr>
                <w:sz w:val="14"/>
                <w:szCs w:val="14"/>
              </w:rPr>
              <w:t xml:space="preserve"> is defined as the equivalent isotropically radiated power of the interfering terrestrial station in the reference bandwidth.</w:t>
            </w:r>
          </w:p>
          <w:p w:rsidR="00D864AF" w:rsidRPr="00125F93" w:rsidRDefault="00D864AF" w:rsidP="00415337">
            <w:pPr>
              <w:spacing w:before="80"/>
              <w:ind w:left="284" w:hanging="284"/>
              <w:rPr>
                <w:sz w:val="14"/>
                <w:szCs w:val="14"/>
              </w:rPr>
            </w:pPr>
            <w:r w:rsidRPr="00125F93">
              <w:rPr>
                <w:position w:val="6"/>
                <w:sz w:val="12"/>
                <w:szCs w:val="12"/>
              </w:rPr>
              <w:t>4</w:t>
            </w:r>
            <w:r w:rsidRPr="00125F93">
              <w:rPr>
                <w:sz w:val="14"/>
                <w:szCs w:val="14"/>
              </w:rPr>
              <w:tab/>
              <w:t>This value is reduced from the nominal value of 50 dBW for the purposes of determination of coordination area, recognizing the low probability of high power emissions falling fully within the relatively narrow bandwidth of the earth station.</w:t>
            </w:r>
          </w:p>
          <w:p w:rsidR="00D864AF" w:rsidRPr="00125F93" w:rsidRDefault="00D864AF" w:rsidP="00415337">
            <w:pPr>
              <w:spacing w:before="80"/>
              <w:ind w:left="284" w:hanging="284"/>
            </w:pPr>
            <w:r w:rsidRPr="00125F93">
              <w:rPr>
                <w:position w:val="6"/>
                <w:sz w:val="12"/>
                <w:szCs w:val="12"/>
              </w:rPr>
              <w:t>5</w:t>
            </w:r>
            <w:r w:rsidRPr="00125F93">
              <w:rPr>
                <w:sz w:val="14"/>
                <w:szCs w:val="14"/>
              </w:rPr>
              <w:tab/>
              <w:t>The fixed-service parameters provided in the column for 163-167 MHz and 272-273 MHz are only applicable to the band 163-167 MHz.</w:t>
            </w:r>
          </w:p>
        </w:tc>
      </w:tr>
    </w:tbl>
    <w:p w:rsidR="00D864AF" w:rsidRPr="00125F93" w:rsidRDefault="00D864AF" w:rsidP="00D864AF">
      <w:pPr>
        <w:sectPr w:rsidR="00D864AF" w:rsidRPr="00125F93" w:rsidSect="00D864AF">
          <w:headerReference w:type="default" r:id="rId19"/>
          <w:footerReference w:type="even" r:id="rId20"/>
          <w:footerReference w:type="default" r:id="rId21"/>
          <w:footerReference w:type="first" r:id="rId22"/>
          <w:type w:val="continuous"/>
          <w:pgSz w:w="16840" w:h="11907" w:orient="landscape" w:code="9"/>
          <w:pgMar w:top="1134" w:right="1418" w:bottom="1134" w:left="1134" w:header="567" w:footer="567" w:gutter="0"/>
          <w:cols w:space="720"/>
          <w:docGrid w:linePitch="326"/>
        </w:sectPr>
      </w:pPr>
    </w:p>
    <w:p w:rsidR="00482BE0" w:rsidRDefault="00762EDC">
      <w:pPr>
        <w:pStyle w:val="Reasons"/>
      </w:pPr>
      <w:r>
        <w:rPr>
          <w:b/>
        </w:rPr>
        <w:lastRenderedPageBreak/>
        <w:t>Reasons:</w:t>
      </w:r>
      <w:r>
        <w:tab/>
      </w:r>
      <w:r w:rsidR="00D864AF" w:rsidRPr="00D864AF">
        <w:t>No parameters for the MetSat and EESS systems to calculate coordination distances are needed.</w:t>
      </w:r>
    </w:p>
    <w:p w:rsidR="00D864AF" w:rsidRPr="00954898" w:rsidRDefault="00D864AF" w:rsidP="00D864AF">
      <w:pPr>
        <w:pStyle w:val="Proposal"/>
      </w:pPr>
      <w:r w:rsidRPr="00954898">
        <w:t>ADD</w:t>
      </w:r>
      <w:r w:rsidRPr="00954898">
        <w:tab/>
        <w:t>EUR/XXXA3/7</w:t>
      </w:r>
    </w:p>
    <w:p w:rsidR="00D864AF" w:rsidRPr="00954898" w:rsidRDefault="00D864AF">
      <w:pPr>
        <w:pStyle w:val="ResNo"/>
      </w:pPr>
      <w:r w:rsidRPr="00954898">
        <w:t>Draft New Resolution [EUR</w:t>
      </w:r>
      <w:r w:rsidRPr="005211CA">
        <w:t>-</w:t>
      </w:r>
      <w:r w:rsidR="00936E20" w:rsidRPr="005211CA">
        <w:t>A</w:t>
      </w:r>
      <w:r w:rsidRPr="005211CA">
        <w:t>13</w:t>
      </w:r>
      <w:r w:rsidRPr="00954898">
        <w:t>] (WRC-19)</w:t>
      </w:r>
    </w:p>
    <w:p w:rsidR="00D864AF" w:rsidRPr="00954898" w:rsidRDefault="00D864AF" w:rsidP="00D864AF">
      <w:pPr>
        <w:pStyle w:val="Restitle"/>
      </w:pPr>
      <w:r w:rsidRPr="00954898">
        <w:t>Implementation of satellite networks and systems of the meteorological-satellite service (space-to-Earth) and the Earth exploration-satellite service (space-to-Earth) in the frequency band 460-470 MHz</w:t>
      </w:r>
    </w:p>
    <w:p w:rsidR="00D864AF" w:rsidRPr="00954898" w:rsidRDefault="00D864AF" w:rsidP="00D864AF">
      <w:pPr>
        <w:spacing w:before="360"/>
        <w:rPr>
          <w:lang w:val="en-CA"/>
        </w:rPr>
      </w:pPr>
      <w:r w:rsidRPr="00954898">
        <w:rPr>
          <w:lang w:val="en-CA"/>
        </w:rPr>
        <w:t>The World Radiocommunication Conference (</w:t>
      </w:r>
      <w:r w:rsidRPr="00954898">
        <w:rPr>
          <w:iCs/>
        </w:rPr>
        <w:t>Sharm el-Sheikh</w:t>
      </w:r>
      <w:r w:rsidRPr="00954898">
        <w:rPr>
          <w:lang w:val="en-CA"/>
        </w:rPr>
        <w:t>, 2019),</w:t>
      </w:r>
    </w:p>
    <w:p w:rsidR="00D864AF" w:rsidRPr="00954898" w:rsidRDefault="00D864AF" w:rsidP="00D864AF">
      <w:pPr>
        <w:pStyle w:val="call0"/>
      </w:pPr>
      <w:r w:rsidRPr="00954898">
        <w:t>considering</w:t>
      </w:r>
    </w:p>
    <w:p w:rsidR="00D864AF" w:rsidRPr="00954898" w:rsidRDefault="00D864AF" w:rsidP="00D864AF">
      <w:pPr>
        <w:rPr>
          <w:iCs/>
        </w:rPr>
      </w:pPr>
      <w:r w:rsidRPr="00954898">
        <w:rPr>
          <w:i/>
          <w:iCs/>
        </w:rPr>
        <w:t>a)</w:t>
      </w:r>
      <w:r w:rsidRPr="00954898">
        <w:tab/>
        <w:t xml:space="preserve">that data collection systems (DCS) operate on geostationary and non-geostationary orbits in the meteorological-satellite service (MetSat) and the Earth exploration-satellite service </w:t>
      </w:r>
      <w:r w:rsidRPr="00954898">
        <w:rPr>
          <w:iCs/>
        </w:rPr>
        <w:t>(EESS) (Earth-to-space) in the frequency band 401-403 MHz;</w:t>
      </w:r>
    </w:p>
    <w:p w:rsidR="00D864AF" w:rsidRPr="00954898" w:rsidRDefault="00D864AF" w:rsidP="00D864AF">
      <w:pPr>
        <w:rPr>
          <w:iCs/>
        </w:rPr>
      </w:pPr>
      <w:r w:rsidRPr="00954898">
        <w:rPr>
          <w:i/>
          <w:iCs/>
        </w:rPr>
        <w:t>b)</w:t>
      </w:r>
      <w:r w:rsidRPr="00954898">
        <w:rPr>
          <w:iCs/>
        </w:rPr>
        <w:tab/>
        <w:t>that DCS are essential for monitoring and predicting climate change, monitoring oceans, and water resources, weather forecasting and assisting in protecting biodiversity, improving maritime security;</w:t>
      </w:r>
    </w:p>
    <w:p w:rsidR="00D864AF" w:rsidRPr="00954898" w:rsidRDefault="00D864AF" w:rsidP="00D864AF">
      <w:pPr>
        <w:rPr>
          <w:iCs/>
        </w:rPr>
      </w:pPr>
      <w:r w:rsidRPr="00954898">
        <w:rPr>
          <w:i/>
          <w:iCs/>
        </w:rPr>
        <w:t>c)</w:t>
      </w:r>
      <w:r w:rsidRPr="00954898">
        <w:rPr>
          <w:iCs/>
        </w:rPr>
        <w:tab/>
        <w:t>that most of these DCS have implemented satellite downlinks (space-to-Earth) in the frequency band 460-470 MHz which bring significant improvements to the operation of satellite DCS, such as the transmission of information to optimize the usage of the terrestrial data collection platforms;</w:t>
      </w:r>
    </w:p>
    <w:p w:rsidR="00D864AF" w:rsidRPr="00954898" w:rsidRDefault="00D864AF" w:rsidP="00D864AF">
      <w:pPr>
        <w:rPr>
          <w:iCs/>
        </w:rPr>
      </w:pPr>
      <w:r w:rsidRPr="00954898">
        <w:rPr>
          <w:i/>
          <w:iCs/>
        </w:rPr>
        <w:t>d)</w:t>
      </w:r>
      <w:r w:rsidRPr="00954898">
        <w:rPr>
          <w:iCs/>
        </w:rPr>
        <w:tab/>
        <w:t>that the frequency band 460-470 MHz is also used for the downlink of mission and telemetry data for meteorological and Earth exploration purposes;</w:t>
      </w:r>
    </w:p>
    <w:p w:rsidR="00D864AF" w:rsidRPr="00954898" w:rsidRDefault="00D864AF" w:rsidP="00D864AF">
      <w:pPr>
        <w:rPr>
          <w:iCs/>
        </w:rPr>
      </w:pPr>
      <w:r w:rsidRPr="00954898">
        <w:rPr>
          <w:i/>
          <w:iCs/>
        </w:rPr>
        <w:t>e)</w:t>
      </w:r>
      <w:r w:rsidRPr="00954898">
        <w:rPr>
          <w:iCs/>
        </w:rPr>
        <w:tab/>
        <w:t>that the frequency band 460-470 MHz is allocated to the fixed and mobile services on a primary basis and is widely used by these services and is also identified for IMT on a global basis;</w:t>
      </w:r>
    </w:p>
    <w:p w:rsidR="00D864AF" w:rsidRPr="00954898" w:rsidRDefault="00D864AF" w:rsidP="00D864AF">
      <w:pPr>
        <w:rPr>
          <w:rFonts w:eastAsia="MS Mincho"/>
          <w:szCs w:val="24"/>
        </w:rPr>
      </w:pPr>
      <w:r w:rsidRPr="00954898">
        <w:rPr>
          <w:rFonts w:eastAsia="MS Mincho"/>
          <w:i/>
          <w:szCs w:val="24"/>
        </w:rPr>
        <w:t>f)</w:t>
      </w:r>
      <w:r w:rsidRPr="00954898">
        <w:rPr>
          <w:rFonts w:eastAsia="MS Mincho"/>
          <w:i/>
          <w:szCs w:val="24"/>
        </w:rPr>
        <w:tab/>
      </w:r>
      <w:r w:rsidRPr="00954898">
        <w:rPr>
          <w:rFonts w:eastAsia="MS Mincho"/>
          <w:szCs w:val="24"/>
        </w:rPr>
        <w:t>that for the upgrade</w:t>
      </w:r>
      <w:r w:rsidRPr="00954898">
        <w:rPr>
          <w:rFonts w:eastAsia="MS Mincho"/>
          <w:szCs w:val="24"/>
          <w:lang w:val="en-CA"/>
        </w:rPr>
        <w:t xml:space="preserve"> of the </w:t>
      </w:r>
      <w:r w:rsidRPr="00954898">
        <w:t>MetSat</w:t>
      </w:r>
      <w:r w:rsidRPr="00954898">
        <w:rPr>
          <w:rFonts w:eastAsia="MS Mincho"/>
          <w:szCs w:val="24"/>
          <w:lang w:val="en-CA"/>
        </w:rPr>
        <w:t xml:space="preserve"> (space-to-Earth) to primary status and an added primary allocation to the EESS (space-to-Earth) in the frequency band 460-470 MHz, it is necessary to </w:t>
      </w:r>
      <w:r w:rsidRPr="00954898">
        <w:rPr>
          <w:rFonts w:eastAsia="MS Mincho"/>
          <w:szCs w:val="24"/>
        </w:rPr>
        <w:t>establish power flux-density (pfd) limits, providing protection and not imposing any additional constraints on primary fixed and mobile services to which the frequency band is already allocated and consequently the existing broadcasting service in the adjacent frequency bands;</w:t>
      </w:r>
    </w:p>
    <w:p w:rsidR="00D864AF" w:rsidRPr="00954898" w:rsidRDefault="00D864AF" w:rsidP="00D864AF">
      <w:pPr>
        <w:rPr>
          <w:rFonts w:eastAsia="MS Mincho"/>
          <w:i/>
          <w:szCs w:val="24"/>
        </w:rPr>
      </w:pPr>
      <w:r w:rsidRPr="00954898">
        <w:rPr>
          <w:rFonts w:eastAsia="MS Mincho"/>
          <w:i/>
          <w:szCs w:val="24"/>
        </w:rPr>
        <w:t>g)</w:t>
      </w:r>
      <w:r w:rsidRPr="00954898">
        <w:rPr>
          <w:rFonts w:eastAsia="MS Mincho"/>
          <w:szCs w:val="24"/>
        </w:rPr>
        <w:tab/>
        <w:t>that t</w:t>
      </w:r>
      <w:r w:rsidRPr="00954898">
        <w:t>he priority of MetSat systems over EESS systems in the frequency band 460</w:t>
      </w:r>
      <w:r>
        <w:noBreakHyphen/>
      </w:r>
      <w:r w:rsidRPr="00954898">
        <w:t>470</w:t>
      </w:r>
      <w:r>
        <w:t> </w:t>
      </w:r>
      <w:r w:rsidRPr="00954898">
        <w:t>MHz is provided to ensure protection of MetSat systems from interference from the increasing number of small satellite systems operating in the EESS;</w:t>
      </w:r>
    </w:p>
    <w:p w:rsidR="00D864AF" w:rsidRPr="00954898" w:rsidRDefault="00D864AF" w:rsidP="00D864AF">
      <w:pPr>
        <w:rPr>
          <w:rFonts w:eastAsia="MS Mincho"/>
          <w:szCs w:val="24"/>
          <w:lang w:val="en-CA"/>
        </w:rPr>
      </w:pPr>
      <w:r w:rsidRPr="00954898">
        <w:rPr>
          <w:rFonts w:eastAsia="MS Mincho"/>
          <w:i/>
          <w:szCs w:val="24"/>
        </w:rPr>
        <w:t>h</w:t>
      </w:r>
      <w:r w:rsidRPr="00954898">
        <w:rPr>
          <w:rFonts w:eastAsia="MS Mincho"/>
          <w:i/>
          <w:szCs w:val="24"/>
          <w:lang w:val="en-CA"/>
        </w:rPr>
        <w:t>)</w:t>
      </w:r>
      <w:r w:rsidRPr="00954898">
        <w:rPr>
          <w:rFonts w:eastAsia="MS Mincho"/>
          <w:szCs w:val="24"/>
          <w:lang w:val="en-CA"/>
        </w:rPr>
        <w:tab/>
        <w:t xml:space="preserve">that WRC-19 suppressed No. </w:t>
      </w:r>
      <w:r w:rsidRPr="00954898">
        <w:rPr>
          <w:rFonts w:eastAsia="MS Mincho"/>
          <w:b/>
          <w:bCs/>
        </w:rPr>
        <w:t>5.290</w:t>
      </w:r>
      <w:r w:rsidRPr="00954898">
        <w:rPr>
          <w:rFonts w:eastAsia="MS Mincho"/>
          <w:szCs w:val="24"/>
          <w:lang w:val="en-CA"/>
        </w:rPr>
        <w:t xml:space="preserve"> and the relevant parameters in Table 8a of Appendix </w:t>
      </w:r>
      <w:r w:rsidRPr="00954898">
        <w:rPr>
          <w:rFonts w:eastAsia="MS Mincho"/>
          <w:b/>
          <w:bCs/>
        </w:rPr>
        <w:t>7</w:t>
      </w:r>
      <w:r w:rsidRPr="00954898">
        <w:rPr>
          <w:rFonts w:eastAsia="MS Mincho"/>
          <w:szCs w:val="24"/>
          <w:lang w:val="en-CA"/>
        </w:rPr>
        <w:t xml:space="preserve">, which </w:t>
      </w:r>
      <w:r w:rsidRPr="00954898">
        <w:rPr>
          <w:rFonts w:eastAsia="MS Mincho"/>
          <w:iCs/>
          <w:szCs w:val="24"/>
        </w:rPr>
        <w:t xml:space="preserve">identified some administrations that already had a primary allocation to </w:t>
      </w:r>
      <w:r w:rsidRPr="00954898">
        <w:rPr>
          <w:rFonts w:eastAsia="MS Mincho"/>
          <w:szCs w:val="24"/>
        </w:rPr>
        <w:t xml:space="preserve">the </w:t>
      </w:r>
      <w:r w:rsidRPr="00954898">
        <w:t>MetSat</w:t>
      </w:r>
      <w:r w:rsidRPr="00954898">
        <w:rPr>
          <w:rFonts w:eastAsia="MS Mincho"/>
          <w:szCs w:val="24"/>
        </w:rPr>
        <w:t xml:space="preserve"> (</w:t>
      </w:r>
      <w:r w:rsidRPr="00954898">
        <w:rPr>
          <w:rFonts w:eastAsia="MS Mincho"/>
          <w:szCs w:val="24"/>
          <w:lang w:val="en-CA"/>
        </w:rPr>
        <w:t>space-to-Earth</w:t>
      </w:r>
      <w:r w:rsidRPr="00954898">
        <w:rPr>
          <w:rFonts w:eastAsia="MS Mincho"/>
          <w:szCs w:val="24"/>
        </w:rPr>
        <w:t>)</w:t>
      </w:r>
      <w:r w:rsidRPr="00954898">
        <w:rPr>
          <w:rFonts w:eastAsia="MS Mincho"/>
          <w:iCs/>
          <w:szCs w:val="24"/>
        </w:rPr>
        <w:t>, subject to agreement obtained under No.</w:t>
      </w:r>
      <w:r w:rsidRPr="00954898">
        <w:rPr>
          <w:rFonts w:eastAsia="MS Mincho"/>
          <w:b/>
          <w:iCs/>
          <w:szCs w:val="24"/>
        </w:rPr>
        <w:t xml:space="preserve"> </w:t>
      </w:r>
      <w:r w:rsidRPr="00954898">
        <w:rPr>
          <w:rFonts w:eastAsia="MS Mincho"/>
          <w:b/>
          <w:bCs/>
        </w:rPr>
        <w:t>9.21</w:t>
      </w:r>
      <w:r w:rsidRPr="00954898">
        <w:rPr>
          <w:rFonts w:eastAsia="MS Mincho"/>
          <w:b/>
          <w:szCs w:val="24"/>
        </w:rPr>
        <w:t xml:space="preserve">, </w:t>
      </w:r>
      <w:r w:rsidRPr="00954898">
        <w:rPr>
          <w:rFonts w:eastAsia="MS Mincho"/>
          <w:szCs w:val="24"/>
          <w:lang w:val="en-CA"/>
        </w:rPr>
        <w:t xml:space="preserve">in the light of the upgrade mentioned in </w:t>
      </w:r>
      <w:r w:rsidRPr="00954898">
        <w:rPr>
          <w:rFonts w:eastAsia="MS Mincho"/>
          <w:i/>
          <w:szCs w:val="24"/>
          <w:lang w:val="en-CA"/>
        </w:rPr>
        <w:t>considering f)</w:t>
      </w:r>
      <w:r w:rsidRPr="00954898">
        <w:rPr>
          <w:rFonts w:eastAsia="MS Mincho"/>
          <w:szCs w:val="24"/>
          <w:lang w:val="en-CA"/>
        </w:rPr>
        <w:t xml:space="preserve"> above, and that it is </w:t>
      </w:r>
      <w:r w:rsidRPr="00954898">
        <w:rPr>
          <w:rFonts w:eastAsia="MS Mincho"/>
          <w:szCs w:val="24"/>
        </w:rPr>
        <w:t xml:space="preserve">necessary to provide some regulatory measures for satellite systems which operate in accordance with No. </w:t>
      </w:r>
      <w:r w:rsidRPr="00954898">
        <w:rPr>
          <w:rFonts w:eastAsia="MS Mincho"/>
          <w:b/>
          <w:bCs/>
        </w:rPr>
        <w:t>5.290</w:t>
      </w:r>
      <w:r w:rsidRPr="00954898">
        <w:rPr>
          <w:rFonts w:eastAsia="MS Mincho"/>
          <w:szCs w:val="24"/>
        </w:rPr>
        <w:t xml:space="preserve"> to retain their regulatory status after the end of WRC-19</w:t>
      </w:r>
      <w:r w:rsidRPr="00954898">
        <w:rPr>
          <w:rFonts w:eastAsia="MS Mincho"/>
          <w:szCs w:val="24"/>
          <w:lang w:val="en-CA"/>
        </w:rPr>
        <w:t>,</w:t>
      </w:r>
    </w:p>
    <w:p w:rsidR="00D864AF" w:rsidRPr="00954898" w:rsidRDefault="00D864AF" w:rsidP="00D864AF">
      <w:pPr>
        <w:pStyle w:val="call0"/>
        <w:rPr>
          <w:lang w:val="en-CA"/>
        </w:rPr>
      </w:pPr>
      <w:r w:rsidRPr="00954898">
        <w:rPr>
          <w:lang w:val="en-CA"/>
        </w:rPr>
        <w:lastRenderedPageBreak/>
        <w:t>noting</w:t>
      </w:r>
    </w:p>
    <w:p w:rsidR="00D864AF" w:rsidRPr="00954898" w:rsidRDefault="00D864AF" w:rsidP="00D864AF">
      <w:pPr>
        <w:rPr>
          <w:lang w:val="en-CA" w:eastAsia="ja-JP"/>
        </w:rPr>
      </w:pPr>
      <w:r w:rsidRPr="00954898">
        <w:rPr>
          <w:i/>
          <w:iCs/>
          <w:lang w:val="en-CA"/>
        </w:rPr>
        <w:t>a)</w:t>
      </w:r>
      <w:r w:rsidRPr="00954898">
        <w:rPr>
          <w:lang w:val="en-CA"/>
        </w:rPr>
        <w:tab/>
        <w:t>that frequency assignments for several EESS and MetSat satellite networks and systems</w:t>
      </w:r>
      <w:r w:rsidRPr="00954898">
        <w:rPr>
          <w:lang w:val="en-CA" w:eastAsia="ja-JP"/>
        </w:rPr>
        <w:t xml:space="preserve"> in the frequency band 460-470 MHz were notified and brought into use before 22 November 2019;</w:t>
      </w:r>
    </w:p>
    <w:p w:rsidR="00D864AF" w:rsidRPr="00954898" w:rsidRDefault="00D864AF" w:rsidP="00D864AF">
      <w:r w:rsidRPr="00954898">
        <w:rPr>
          <w:i/>
          <w:lang w:val="en-CA" w:eastAsia="ja-JP"/>
        </w:rPr>
        <w:t>b)</w:t>
      </w:r>
      <w:r w:rsidRPr="00954898">
        <w:rPr>
          <w:i/>
          <w:lang w:val="en-CA" w:eastAsia="ja-JP"/>
        </w:rPr>
        <w:tab/>
      </w:r>
      <w:r w:rsidRPr="00954898">
        <w:rPr>
          <w:lang w:val="en-CA" w:eastAsia="ja-JP"/>
        </w:rPr>
        <w:t xml:space="preserve">that some of these </w:t>
      </w:r>
      <w:r w:rsidRPr="00954898">
        <w:t xml:space="preserve">EESS and MetSat satellite networks and systems above may not meet the pfd limits in </w:t>
      </w:r>
      <w:r w:rsidRPr="00954898">
        <w:rPr>
          <w:i/>
        </w:rPr>
        <w:t>considering f),</w:t>
      </w:r>
      <w:r w:rsidRPr="00954898">
        <w:t xml:space="preserve"> but there is a need to continue to authorize them for operations in order to continue their operation,</w:t>
      </w:r>
    </w:p>
    <w:p w:rsidR="00D864AF" w:rsidRPr="00954898" w:rsidRDefault="00D864AF" w:rsidP="00D864AF">
      <w:pPr>
        <w:pStyle w:val="call0"/>
        <w:rPr>
          <w:lang w:val="en-CA"/>
        </w:rPr>
      </w:pPr>
      <w:r w:rsidRPr="00954898">
        <w:rPr>
          <w:lang w:val="en-CA"/>
        </w:rPr>
        <w:t>resolves</w:t>
      </w:r>
    </w:p>
    <w:p w:rsidR="00D864AF" w:rsidRPr="00954898" w:rsidRDefault="00D864AF" w:rsidP="00D864AF">
      <w:pPr>
        <w:numPr>
          <w:ilvl w:val="0"/>
          <w:numId w:val="3"/>
        </w:numPr>
        <w:tabs>
          <w:tab w:val="clear" w:pos="1134"/>
          <w:tab w:val="left" w:pos="3510"/>
        </w:tabs>
        <w:ind w:left="6" w:hanging="6"/>
        <w:contextualSpacing/>
        <w:rPr>
          <w:lang w:val="en-CA"/>
        </w:rPr>
      </w:pPr>
      <w:r w:rsidRPr="00954898">
        <w:t>that i</w:t>
      </w:r>
      <w:r w:rsidRPr="00954898">
        <w:rPr>
          <w:szCs w:val="24"/>
        </w:rPr>
        <w:t>n the frequency band 460-470 MHz the power flux-density at the Earth´s surface produced by stations</w:t>
      </w:r>
      <w:r w:rsidRPr="00954898">
        <w:t xml:space="preserve"> in the meteorological-satellite (space-to-Earth) and Earth exploration-satellite (space-to-Earth) services shall comply with</w:t>
      </w:r>
      <w:r w:rsidRPr="00954898" w:rsidDel="000245AE">
        <w:t xml:space="preserve"> </w:t>
      </w:r>
      <w:r w:rsidRPr="00954898">
        <w:t>the limits listed below under assumed free-space propagation conditions for all methods of modulation:</w:t>
      </w:r>
    </w:p>
    <w:p w:rsidR="00D864AF" w:rsidRPr="00954898" w:rsidRDefault="00D864AF" w:rsidP="00D864AF">
      <w:pPr>
        <w:tabs>
          <w:tab w:val="left" w:pos="0"/>
          <w:tab w:val="left" w:pos="3510"/>
        </w:tabs>
        <w:contextualSpacing/>
      </w:pPr>
      <w:r w:rsidRPr="00954898">
        <w:t>For non-GSO space stations:</w:t>
      </w:r>
    </w:p>
    <w:p w:rsidR="00D864AF" w:rsidRPr="00954898" w:rsidRDefault="00D864AF" w:rsidP="00D864AF">
      <w:pPr>
        <w:tabs>
          <w:tab w:val="left" w:pos="0"/>
          <w:tab w:val="left" w:pos="3510"/>
        </w:tabs>
        <w:ind w:left="720"/>
        <w:contextualSpacing/>
      </w:pPr>
      <m:oMathPara>
        <m:oMath>
          <m:r>
            <w:rPr>
              <w:rFonts w:ascii="Cambria Math" w:hAnsi="Cambria Math"/>
            </w:rPr>
            <m:t>pfd</m:t>
          </m:r>
          <m:r>
            <m:rPr>
              <m:sty m:val="p"/>
            </m:rPr>
            <w:rPr>
              <w:rFonts w:ascii="Cambria Math" w:hAnsi="Cambria Math"/>
            </w:rPr>
            <m:t xml:space="preserve"> </m:t>
          </m:r>
          <m:d>
            <m:dPr>
              <m:ctrlPr>
                <w:rPr>
                  <w:rFonts w:ascii="Cambria Math" w:hAnsi="Cambria Math"/>
                </w:rPr>
              </m:ctrlPr>
            </m:dPr>
            <m:e>
              <m:r>
                <w:rPr>
                  <w:rFonts w:ascii="Cambria Math" w:hAnsi="Cambria Math"/>
                </w:rPr>
                <m:t>dB</m:t>
              </m:r>
              <m:d>
                <m:dPr>
                  <m:ctrlPr>
                    <w:rPr>
                      <w:rFonts w:ascii="Cambria Math" w:hAnsi="Cambria Math"/>
                      <w:i/>
                    </w:rPr>
                  </m:ctrlPr>
                </m:dPr>
                <m:e>
                  <m:f>
                    <m:fPr>
                      <m:ctrlPr>
                        <w:rPr>
                          <w:rFonts w:ascii="Cambria Math" w:hAnsi="Cambria Math"/>
                        </w:rPr>
                      </m:ctrlPr>
                    </m:fPr>
                    <m:num>
                      <m:r>
                        <w:rPr>
                          <w:rFonts w:ascii="Cambria Math" w:hAnsi="Cambria Math"/>
                        </w:rPr>
                        <m:t>W</m:t>
                      </m:r>
                      <m:ctrlPr>
                        <w:rPr>
                          <w:rFonts w:ascii="Cambria Math" w:hAnsi="Cambria Math"/>
                          <w:i/>
                        </w:rPr>
                      </m:ctrlPr>
                    </m:num>
                    <m:den>
                      <m:sSup>
                        <m:sSupPr>
                          <m:ctrlPr>
                            <w:rPr>
                              <w:rFonts w:ascii="Cambria Math" w:hAnsi="Cambria Math"/>
                            </w:rPr>
                          </m:ctrlPr>
                        </m:sSupPr>
                        <m:e>
                          <m:r>
                            <w:rPr>
                              <w:rFonts w:ascii="Cambria Math" w:hAnsi="Cambria Math"/>
                            </w:rPr>
                            <m:t>m</m:t>
                          </m:r>
                        </m:e>
                        <m:sup>
                          <m:r>
                            <m:rPr>
                              <m:sty m:val="p"/>
                            </m:rPr>
                            <w:rPr>
                              <w:rFonts w:ascii="Cambria Math" w:hAnsi="Cambria Math"/>
                            </w:rPr>
                            <m:t>2</m:t>
                          </m:r>
                        </m:sup>
                      </m:sSup>
                      <m:r>
                        <m:rPr>
                          <m:sty m:val="p"/>
                        </m:rPr>
                        <w:rPr>
                          <w:rFonts w:ascii="Cambria Math" w:hAnsi="Cambria Math"/>
                        </w:rPr>
                        <m:t> · 4kHz</m:t>
                      </m:r>
                    </m:den>
                  </m:f>
                  <m:ctrlPr>
                    <w:rPr>
                      <w:rFonts w:ascii="Cambria Math" w:hAnsi="Cambria Math"/>
                    </w:rPr>
                  </m:ctrlPr>
                </m:e>
              </m:d>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-157                                    &amp;0°≤</m:t>
                  </m:r>
                  <m:r>
                    <m:rPr>
                      <m:sty m:val="p"/>
                    </m:rPr>
                    <w:rPr>
                      <w:rFonts w:ascii="Cambria Math" w:hAnsi="Cambria Math"/>
                    </w:rPr>
                    <w:sym w:font="Symbol" w:char="F061"/>
                  </m:r>
                  <m:r>
                    <m:rPr>
                      <m:sty m:val="p"/>
                    </m:rPr>
                    <w:rPr>
                      <w:rFonts w:ascii="Cambria Math" w:hAnsi="Cambria Math"/>
                    </w:rPr>
                    <m:t xml:space="preserve">&lt;5° </m:t>
                  </m:r>
                </m:e>
                <m:e>
                  <m:r>
                    <m:rPr>
                      <m:sty m:val="p"/>
                    </m:rPr>
                    <w:rPr>
                      <w:rFonts w:ascii="Cambria Math" w:hAnsi="Cambria Math"/>
                    </w:rPr>
                    <m:t>-157+0.5</m:t>
                  </m:r>
                  <m:d>
                    <m:dPr>
                      <m:ctrlPr>
                        <w:rPr>
                          <w:rFonts w:ascii="Cambria Math" w:hAnsi="Cambria Math"/>
                        </w:rPr>
                      </m:ctrlPr>
                    </m:dPr>
                    <m:e>
                      <m:r>
                        <m:rPr>
                          <m:sty m:val="p"/>
                        </m:rPr>
                        <w:rPr>
                          <w:rFonts w:ascii="Cambria Math" w:hAnsi="Cambria Math"/>
                        </w:rPr>
                        <m:t>α-5</m:t>
                      </m:r>
                    </m:e>
                  </m:d>
                  <m:r>
                    <m:rPr>
                      <m:sty m:val="p"/>
                    </m:rPr>
                    <w:rPr>
                      <w:rFonts w:ascii="Cambria Math" w:hAnsi="Cambria Math"/>
                    </w:rPr>
                    <m:t xml:space="preserve">           5°≤</m:t>
                  </m:r>
                  <m:r>
                    <m:rPr>
                      <m:sty m:val="p"/>
                    </m:rPr>
                    <w:rPr>
                      <w:rFonts w:ascii="Cambria Math" w:hAnsi="Cambria Math"/>
                    </w:rPr>
                    <w:sym w:font="Symbol" w:char="F061"/>
                  </m:r>
                  <m:r>
                    <m:rPr>
                      <m:sty m:val="p"/>
                    </m:rPr>
                    <w:rPr>
                      <w:rFonts w:ascii="Cambria Math" w:hAnsi="Cambria Math"/>
                    </w:rPr>
                    <m:t>&lt;15°</m:t>
                  </m:r>
                  <m:ctrlPr>
                    <w:rPr>
                      <w:rFonts w:ascii="Cambria Math" w:eastAsia="Cambria Math" w:hAnsi="Cambria Math"/>
                    </w:rPr>
                  </m:ctrlPr>
                </m:e>
                <m:e>
                  <m:r>
                    <m:rPr>
                      <m:sty m:val="p"/>
                    </m:rPr>
                    <w:rPr>
                      <w:rFonts w:ascii="Cambria Math" w:hAnsi="Cambria Math"/>
                    </w:rPr>
                    <m:t>-152                                   15°≤</m:t>
                  </m:r>
                  <m:r>
                    <m:rPr>
                      <m:sty m:val="p"/>
                    </m:rPr>
                    <w:rPr>
                      <w:rFonts w:ascii="Cambria Math" w:hAnsi="Cambria Math"/>
                    </w:rPr>
                    <w:sym w:font="Symbol" w:char="F061"/>
                  </m:r>
                  <m:r>
                    <m:rPr>
                      <m:sty m:val="p"/>
                    </m:rPr>
                    <w:rPr>
                      <w:rFonts w:ascii="Cambria Math" w:hAnsi="Cambria Math"/>
                    </w:rPr>
                    <m:t>≤90°</m:t>
                  </m:r>
                </m:e>
              </m:eqArr>
            </m:e>
          </m:d>
        </m:oMath>
      </m:oMathPara>
    </w:p>
    <w:p w:rsidR="00D864AF" w:rsidRPr="00954898" w:rsidRDefault="00D864AF" w:rsidP="00D864AF">
      <w:pPr>
        <w:tabs>
          <w:tab w:val="left" w:pos="0"/>
          <w:tab w:val="left" w:pos="3510"/>
        </w:tabs>
        <w:contextualSpacing/>
      </w:pPr>
      <w:r w:rsidRPr="00954898">
        <w:t>And for GSO space stations:</w:t>
      </w:r>
    </w:p>
    <w:p w:rsidR="00D864AF" w:rsidRPr="00954898" w:rsidRDefault="00D864AF" w:rsidP="00D864AF">
      <m:oMathPara>
        <m:oMath>
          <m:r>
            <w:rPr>
              <w:rStyle w:val="EquationChar"/>
              <w:rFonts w:ascii="Cambria Math" w:hAnsi="Cambria Math"/>
            </w:rPr>
            <m:t>pfd (dB(W/(</m:t>
          </m:r>
          <m:sSup>
            <m:sSupPr>
              <m:ctrlPr>
                <w:rPr>
                  <w:rStyle w:val="EquationChar"/>
                  <w:rFonts w:ascii="Cambria Math" w:hAnsi="Cambria Math"/>
                  <w:i/>
                </w:rPr>
              </m:ctrlPr>
            </m:sSupPr>
            <m:e>
              <m:r>
                <w:rPr>
                  <w:rStyle w:val="EquationChar"/>
                  <w:rFonts w:ascii="Cambria Math" w:hAnsi="Cambria Math"/>
                </w:rPr>
                <m:t>m</m:t>
              </m:r>
            </m:e>
            <m:sup>
              <m:r>
                <w:rPr>
                  <w:rStyle w:val="EquationChar"/>
                  <w:rFonts w:ascii="Cambria Math" w:hAnsi="Cambria Math"/>
                </w:rPr>
                <m:t>2</m:t>
              </m:r>
            </m:sup>
          </m:sSup>
          <m:r>
            <w:rPr>
              <w:rStyle w:val="EquationChar"/>
              <w:rFonts w:ascii="Cambria Math" w:hAnsi="Cambria Math"/>
              <w:i/>
            </w:rPr>
            <w:sym w:font="Symbol" w:char="F0D7"/>
          </m:r>
          <m:r>
            <w:rPr>
              <w:rStyle w:val="EquationChar"/>
              <w:rFonts w:ascii="Cambria Math" w:hAnsi="Cambria Math"/>
            </w:rPr>
            <m:t>4kHz)))=</m:t>
          </m:r>
          <m:d>
            <m:dPr>
              <m:begChr m:val="{"/>
              <m:endChr m:val=""/>
              <m:ctrlPr>
                <w:rPr>
                  <w:rStyle w:val="EquationChar"/>
                  <w:rFonts w:ascii="Cambria Math" w:hAnsi="Cambria Math"/>
                </w:rPr>
              </m:ctrlPr>
            </m:dPr>
            <m:e>
              <m:eqArr>
                <m:eqArrPr>
                  <m:ctrlPr>
                    <w:rPr>
                      <w:rStyle w:val="EquationChar"/>
                      <w:rFonts w:ascii="Cambria Math" w:hAnsi="Cambria Math"/>
                    </w:rPr>
                  </m:ctrlPr>
                </m:eqArrPr>
                <m:e>
                  <m:r>
                    <w:rPr>
                      <w:rStyle w:val="EquationChar"/>
                      <w:rFonts w:ascii="Cambria Math" w:hAnsi="Cambria Math"/>
                    </w:rPr>
                    <m:t>-162                                            &amp;</m:t>
                  </m:r>
                  <m:r>
                    <m:rPr>
                      <m:sty m:val="p"/>
                    </m:rPr>
                    <w:rPr>
                      <w:rStyle w:val="EquationChar"/>
                      <w:rFonts w:ascii="Cambria Math" w:hAnsi="Cambria Math"/>
                    </w:rPr>
                    <m:t>0</m:t>
                  </m:r>
                  <m:r>
                    <m:rPr>
                      <m:sty m:val="p"/>
                    </m:rPr>
                    <w:rPr>
                      <w:rStyle w:val="EquationChar"/>
                      <w:rFonts w:ascii="Cambria Math" w:hAnsi="Cambria Math" w:hint="eastAsia"/>
                    </w:rPr>
                    <m:t>°</m:t>
                  </m:r>
                  <m:r>
                    <m:rPr>
                      <m:sty m:val="p"/>
                    </m:rPr>
                    <w:rPr>
                      <w:rStyle w:val="EquationChar"/>
                      <w:rFonts w:ascii="Cambria Math" w:hAnsi="Cambria Math"/>
                    </w:rPr>
                    <m:t>≤</m:t>
                  </m:r>
                  <m:r>
                    <m:rPr>
                      <m:sty m:val="p"/>
                    </m:rPr>
                    <w:rPr>
                      <w:rStyle w:val="EquationChar"/>
                      <w:rFonts w:ascii="Cambria Math" w:hAnsi="Cambria Math"/>
                    </w:rPr>
                    <w:sym w:font="Symbol" w:char="F061"/>
                  </m:r>
                  <m:r>
                    <m:rPr>
                      <m:sty m:val="p"/>
                    </m:rPr>
                    <w:rPr>
                      <w:rStyle w:val="EquationChar"/>
                      <w:rFonts w:ascii="Cambria Math" w:hAnsi="Cambria Math"/>
                    </w:rPr>
                    <m:t>≤15</m:t>
                  </m:r>
                  <m:r>
                    <m:rPr>
                      <m:sty m:val="p"/>
                    </m:rPr>
                    <w:rPr>
                      <w:rStyle w:val="EquationChar"/>
                      <w:rFonts w:ascii="Cambria Math" w:hAnsi="Cambria Math" w:hint="eastAsia"/>
                    </w:rPr>
                    <m:t>°</m:t>
                  </m:r>
                  <m:r>
                    <w:rPr>
                      <w:rStyle w:val="EquationChar"/>
                      <w:rFonts w:ascii="Cambria Math" w:hAnsi="Cambria Math"/>
                    </w:rPr>
                    <m:t xml:space="preserve"> </m:t>
                  </m:r>
                </m:e>
                <m:e>
                  <m:r>
                    <m:rPr>
                      <m:sty m:val="p"/>
                    </m:rPr>
                    <w:rPr>
                      <w:rStyle w:val="EquationChar"/>
                      <w:rFonts w:ascii="Cambria Math" w:hAnsi="Cambria Math"/>
                    </w:rPr>
                    <m:t>-162+0.5</m:t>
                  </m:r>
                  <m:d>
                    <m:dPr>
                      <m:ctrlPr>
                        <w:rPr>
                          <w:rStyle w:val="EquationChar"/>
                          <w:rFonts w:ascii="Cambria Math" w:hAnsi="Cambria Math"/>
                        </w:rPr>
                      </m:ctrlPr>
                    </m:dPr>
                    <m:e>
                      <m:r>
                        <m:rPr>
                          <m:sty m:val="p"/>
                        </m:rPr>
                        <w:rPr>
                          <w:rStyle w:val="EquationChar"/>
                          <w:rFonts w:ascii="Cambria Math" w:hAnsi="Cambria Math" w:hint="eastAsia"/>
                        </w:rPr>
                        <m:t>α</m:t>
                      </m:r>
                      <m:r>
                        <m:rPr>
                          <m:sty m:val="p"/>
                        </m:rPr>
                        <w:rPr>
                          <w:rStyle w:val="EquationChar"/>
                          <w:rFonts w:ascii="Cambria Math" w:hAnsi="Cambria Math"/>
                        </w:rPr>
                        <m:t>-15</m:t>
                      </m:r>
                    </m:e>
                  </m:d>
                  <m:r>
                    <m:rPr>
                      <m:sty m:val="p"/>
                    </m:rPr>
                    <w:rPr>
                      <w:rStyle w:val="EquationChar"/>
                      <w:rFonts w:ascii="Cambria Math" w:hAnsi="Cambria Math"/>
                    </w:rPr>
                    <m:t xml:space="preserve">               15</m:t>
                  </m:r>
                  <m:r>
                    <m:rPr>
                      <m:sty m:val="p"/>
                    </m:rPr>
                    <w:rPr>
                      <w:rStyle w:val="EquationChar"/>
                      <w:rFonts w:ascii="Cambria Math" w:hAnsi="Cambria Math" w:hint="eastAsia"/>
                    </w:rPr>
                    <m:t>°</m:t>
                  </m:r>
                  <m:r>
                    <m:rPr>
                      <m:sty m:val="p"/>
                    </m:rPr>
                    <w:rPr>
                      <w:rStyle w:val="EquationChar"/>
                      <w:rFonts w:ascii="Cambria Math" w:hAnsi="Cambria Math"/>
                    </w:rPr>
                    <m:t>&lt;</m:t>
                  </m:r>
                  <m:r>
                    <m:rPr>
                      <m:sty m:val="p"/>
                    </m:rPr>
                    <w:rPr>
                      <w:rStyle w:val="EquationChar"/>
                      <w:rFonts w:ascii="Cambria Math" w:hAnsi="Cambria Math"/>
                    </w:rPr>
                    <w:sym w:font="Symbol" w:char="F061"/>
                  </m:r>
                  <m:r>
                    <m:rPr>
                      <m:sty m:val="p"/>
                    </m:rPr>
                    <w:rPr>
                      <w:rStyle w:val="EquationChar"/>
                      <w:rFonts w:ascii="Cambria Math" w:hAnsi="Cambria Math"/>
                    </w:rPr>
                    <m:t>&lt;35</m:t>
                  </m:r>
                  <m:r>
                    <m:rPr>
                      <m:sty m:val="p"/>
                    </m:rPr>
                    <w:rPr>
                      <w:rStyle w:val="EquationChar"/>
                      <w:rFonts w:ascii="Cambria Math" w:hAnsi="Cambria Math" w:hint="eastAsia"/>
                    </w:rPr>
                    <m:t>°</m:t>
                  </m:r>
                </m:e>
                <m:e>
                  <m:r>
                    <w:rPr>
                      <w:rStyle w:val="EquationChar"/>
                      <w:rFonts w:ascii="Cambria Math" w:hAnsi="Cambria Math"/>
                    </w:rPr>
                    <m:t xml:space="preserve">-152                                            </m:t>
                  </m:r>
                  <m:r>
                    <m:rPr>
                      <m:sty m:val="p"/>
                    </m:rPr>
                    <w:rPr>
                      <w:rStyle w:val="EquationChar"/>
                      <w:rFonts w:ascii="Cambria Math" w:hAnsi="Cambria Math"/>
                    </w:rPr>
                    <m:t>35</m:t>
                  </m:r>
                  <m:r>
                    <m:rPr>
                      <m:sty m:val="p"/>
                    </m:rPr>
                    <w:rPr>
                      <w:rStyle w:val="EquationChar"/>
                      <w:rFonts w:ascii="Cambria Math" w:hAnsi="Cambria Math" w:hint="eastAsia"/>
                    </w:rPr>
                    <m:t>°</m:t>
                  </m:r>
                  <m:r>
                    <m:rPr>
                      <m:sty m:val="p"/>
                    </m:rPr>
                    <w:rPr>
                      <w:rStyle w:val="EquationChar"/>
                      <w:rFonts w:ascii="Cambria Math" w:hAnsi="Cambria Math"/>
                    </w:rPr>
                    <m:t>≤</m:t>
                  </m:r>
                  <m:r>
                    <m:rPr>
                      <m:sty m:val="p"/>
                    </m:rPr>
                    <w:rPr>
                      <w:rStyle w:val="EquationChar"/>
                      <w:rFonts w:ascii="Cambria Math" w:hAnsi="Cambria Math"/>
                    </w:rPr>
                    <w:sym w:font="Symbol" w:char="F061"/>
                  </m:r>
                  <m:r>
                    <m:rPr>
                      <m:sty m:val="p"/>
                    </m:rPr>
                    <w:rPr>
                      <w:rStyle w:val="EquationChar"/>
                      <w:rFonts w:ascii="Cambria Math" w:hAnsi="Cambria Math"/>
                    </w:rPr>
                    <m:t>≤90</m:t>
                  </m:r>
                  <m:r>
                    <m:rPr>
                      <m:sty m:val="p"/>
                    </m:rPr>
                    <w:rPr>
                      <w:rStyle w:val="EquationChar"/>
                      <w:rFonts w:ascii="Cambria Math" w:hAnsi="Cambria Math" w:hint="eastAsia"/>
                    </w:rPr>
                    <m:t>°</m:t>
                  </m:r>
                </m:e>
              </m:eqArr>
            </m:e>
          </m:d>
        </m:oMath>
      </m:oMathPara>
    </w:p>
    <w:p w:rsidR="00D864AF" w:rsidRPr="00954898" w:rsidRDefault="00D864AF" w:rsidP="00D864AF">
      <w:pPr>
        <w:tabs>
          <w:tab w:val="left" w:pos="284"/>
        </w:tabs>
        <w:spacing w:before="80"/>
        <w:rPr>
          <w:lang w:eastAsia="ja-JP"/>
        </w:rPr>
      </w:pPr>
      <w:r w:rsidRPr="00954898">
        <w:rPr>
          <w:lang w:eastAsia="ja-JP"/>
        </w:rPr>
        <w:t xml:space="preserve">where </w:t>
      </w:r>
      <w:r w:rsidRPr="00954898">
        <w:rPr>
          <w:lang w:eastAsia="ja-JP"/>
        </w:rPr>
        <w:tab/>
      </w:r>
      <w:r w:rsidR="00EA6D7F" w:rsidRPr="00EA6D7F">
        <w:rPr>
          <w:rFonts w:ascii="Symbol" w:hAnsi="Symbol"/>
          <w:lang w:eastAsia="ja-JP"/>
        </w:rPr>
        <w:t></w:t>
      </w:r>
      <w:r w:rsidRPr="00954898">
        <w:rPr>
          <w:lang w:eastAsia="ja-JP"/>
        </w:rPr>
        <w:t xml:space="preserve"> </w:t>
      </w:r>
      <w:r w:rsidRPr="00954898">
        <w:rPr>
          <w:lang w:eastAsia="ja-JP"/>
        </w:rPr>
        <w:tab/>
        <w:t>is the angle of arrival above the horizontal plane, in degrees.</w:t>
      </w:r>
    </w:p>
    <w:p w:rsidR="00D864AF" w:rsidRPr="00954898" w:rsidRDefault="00684DCD" w:rsidP="00D864AF">
      <w:pPr>
        <w:rPr>
          <w:lang w:val="en-US"/>
        </w:rPr>
      </w:pPr>
      <w:r>
        <w:tab/>
      </w:r>
      <w:r w:rsidR="00D864AF" w:rsidRPr="00954898">
        <w:rPr>
          <w:lang w:val="en-US"/>
        </w:rPr>
        <w:t xml:space="preserve">These limits apply to all space stations in the </w:t>
      </w:r>
      <w:r w:rsidR="00D864AF" w:rsidRPr="00954898">
        <w:t>meteorological-satellite</w:t>
      </w:r>
      <w:r w:rsidR="00D864AF" w:rsidRPr="00954898">
        <w:rPr>
          <w:lang w:val="en-US"/>
        </w:rPr>
        <w:t xml:space="preserve"> service and </w:t>
      </w:r>
      <w:r w:rsidR="00D864AF" w:rsidRPr="00954898">
        <w:t>Earth exploration</w:t>
      </w:r>
      <w:r w:rsidR="00D864AF" w:rsidRPr="00954898">
        <w:noBreakHyphen/>
        <w:t xml:space="preserve">satellite </w:t>
      </w:r>
      <w:r w:rsidR="00D864AF" w:rsidRPr="00954898">
        <w:rPr>
          <w:lang w:val="en-US"/>
        </w:rPr>
        <w:t>service in this frequency band for which complete notification information for non-geostationary satellite networks or coordination request or advanced publication information for geostationary satellite networks is received by the Radiocommunication Bureau after the end of WRC-19;</w:t>
      </w:r>
    </w:p>
    <w:p w:rsidR="00D864AF" w:rsidRPr="00954898" w:rsidRDefault="00D864AF" w:rsidP="00D864AF">
      <w:pPr>
        <w:rPr>
          <w:lang w:val="en-US"/>
        </w:rPr>
      </w:pPr>
      <w:r w:rsidRPr="00954898">
        <w:rPr>
          <w:lang w:val="en-US"/>
        </w:rPr>
        <w:t>2</w:t>
      </w:r>
      <w:r w:rsidRPr="00954898">
        <w:rPr>
          <w:lang w:val="en-US"/>
        </w:rPr>
        <w:tab/>
        <w:t xml:space="preserve">that the satellite networks and systems in the meteorological-satellite (space-to-Earth) and Earth exploration-satellite (space-to-Earth) services in the frequency band 460-470 MHz for which a complete coordination request </w:t>
      </w:r>
      <w:r w:rsidRPr="00954898">
        <w:rPr>
          <w:szCs w:val="14"/>
          <w:lang w:val="en-US"/>
        </w:rPr>
        <w:t xml:space="preserve">or advanced publication information </w:t>
      </w:r>
      <w:r w:rsidRPr="00954898">
        <w:rPr>
          <w:lang w:val="en-US"/>
        </w:rPr>
        <w:t xml:space="preserve">for geostationary satellite networks or notification information for non-geostationary satellite networks has been received by the Radiocommunication Bureau prior to the end of WRC-19, and those space stations which meet the pfd limits given in </w:t>
      </w:r>
      <w:r w:rsidRPr="00954898">
        <w:rPr>
          <w:i/>
          <w:lang w:val="en-US"/>
        </w:rPr>
        <w:t>resolves 1</w:t>
      </w:r>
      <w:r w:rsidRPr="00954898">
        <w:rPr>
          <w:lang w:val="en-US"/>
        </w:rPr>
        <w:t xml:space="preserve">, may continue to operate with the same parameters under Appendix </w:t>
      </w:r>
      <w:r w:rsidRPr="00954898">
        <w:rPr>
          <w:b/>
          <w:lang w:val="en-US"/>
        </w:rPr>
        <w:t>4</w:t>
      </w:r>
      <w:r w:rsidRPr="00954898">
        <w:rPr>
          <w:lang w:val="en-US"/>
        </w:rPr>
        <w:t xml:space="preserve"> submitted for coordination or notification</w:t>
      </w:r>
      <w:r w:rsidR="00684DCD">
        <w:rPr>
          <w:lang w:val="en-US"/>
        </w:rPr>
        <w:t>;</w:t>
      </w:r>
    </w:p>
    <w:p w:rsidR="00D864AF" w:rsidRPr="00954898" w:rsidRDefault="00D864AF" w:rsidP="00D864AF">
      <w:pPr>
        <w:rPr>
          <w:lang w:val="en-CA"/>
        </w:rPr>
      </w:pPr>
      <w:r w:rsidRPr="00954898">
        <w:rPr>
          <w:lang w:val="en-US"/>
        </w:rPr>
        <w:t>3</w:t>
      </w:r>
      <w:r w:rsidRPr="00954898">
        <w:rPr>
          <w:lang w:val="en-US"/>
        </w:rPr>
        <w:tab/>
      </w:r>
      <w:r w:rsidRPr="00954898">
        <w:rPr>
          <w:lang w:val="en-CA"/>
        </w:rPr>
        <w:t xml:space="preserve">that the frequency assignment of MetSat (space-to-Earth) and EESS (space-to-Earth) satellite network and systems in the frequency band 460-470 MHz </w:t>
      </w:r>
      <w:r w:rsidRPr="00954898">
        <w:t xml:space="preserve">for which complete notification information </w:t>
      </w:r>
      <w:r w:rsidRPr="00954898">
        <w:rPr>
          <w:szCs w:val="14"/>
          <w:lang w:val="en-US"/>
        </w:rPr>
        <w:t xml:space="preserve">for non-geostationary satellite networks </w:t>
      </w:r>
      <w:r w:rsidRPr="00954898">
        <w:t xml:space="preserve">or coordination request or advanced publication information </w:t>
      </w:r>
      <w:r w:rsidRPr="00954898">
        <w:rPr>
          <w:szCs w:val="14"/>
          <w:lang w:val="en-US"/>
        </w:rPr>
        <w:t xml:space="preserve">for geostationary satellite networks </w:t>
      </w:r>
      <w:r w:rsidRPr="00954898">
        <w:t xml:space="preserve">was received by the Radiocommunication Bureau </w:t>
      </w:r>
      <w:r w:rsidRPr="00954898">
        <w:rPr>
          <w:lang w:val="en-CA"/>
        </w:rPr>
        <w:t xml:space="preserve">prior to the </w:t>
      </w:r>
      <w:r w:rsidRPr="00954898">
        <w:t>end of WRC</w:t>
      </w:r>
      <w:r w:rsidRPr="00954898">
        <w:noBreakHyphen/>
        <w:t>19</w:t>
      </w:r>
      <w:r w:rsidRPr="00954898">
        <w:rPr>
          <w:lang w:val="en-CA"/>
        </w:rPr>
        <w:t xml:space="preserve"> and whose space stations do not meet the pfd limits given in </w:t>
      </w:r>
      <w:r w:rsidRPr="00954898">
        <w:rPr>
          <w:i/>
          <w:lang w:val="en-CA"/>
        </w:rPr>
        <w:t>resolves</w:t>
      </w:r>
      <w:r w:rsidRPr="00954898">
        <w:rPr>
          <w:lang w:val="en-CA"/>
        </w:rPr>
        <w:t xml:space="preserve"> </w:t>
      </w:r>
      <w:r w:rsidRPr="00954898">
        <w:rPr>
          <w:i/>
          <w:lang w:val="en-CA"/>
        </w:rPr>
        <w:t>1</w:t>
      </w:r>
      <w:r w:rsidRPr="00954898">
        <w:rPr>
          <w:lang w:val="en-CA"/>
        </w:rPr>
        <w:t xml:space="preserve"> shall be used on a primary basis subject to not causing harmful interference to the fixed and mobile service stations;</w:t>
      </w:r>
    </w:p>
    <w:p w:rsidR="00D864AF" w:rsidRPr="00954898" w:rsidRDefault="00D864AF" w:rsidP="00D864AF">
      <w:pPr>
        <w:rPr>
          <w:szCs w:val="24"/>
        </w:rPr>
      </w:pPr>
      <w:r w:rsidRPr="00954898">
        <w:rPr>
          <w:szCs w:val="24"/>
          <w:lang w:val="en-CA"/>
        </w:rPr>
        <w:t>4</w:t>
      </w:r>
      <w:r w:rsidRPr="00954898">
        <w:rPr>
          <w:szCs w:val="24"/>
          <w:lang w:val="en-CA"/>
        </w:rPr>
        <w:tab/>
        <w:t xml:space="preserve">that </w:t>
      </w:r>
      <w:r w:rsidRPr="00954898">
        <w:rPr>
          <w:szCs w:val="24"/>
        </w:rPr>
        <w:t xml:space="preserve">the satellite systems in the </w:t>
      </w:r>
      <w:r w:rsidRPr="00954898">
        <w:rPr>
          <w:rFonts w:eastAsia="MS Mincho"/>
          <w:szCs w:val="24"/>
        </w:rPr>
        <w:t>meteorological-satellite service (</w:t>
      </w:r>
      <w:r w:rsidRPr="00954898">
        <w:rPr>
          <w:rFonts w:eastAsia="MS Mincho"/>
          <w:szCs w:val="24"/>
          <w:lang w:val="en-CA"/>
        </w:rPr>
        <w:t>space-to-Earth</w:t>
      </w:r>
      <w:r w:rsidRPr="00954898">
        <w:rPr>
          <w:rFonts w:eastAsia="MS Mincho"/>
          <w:szCs w:val="24"/>
        </w:rPr>
        <w:t xml:space="preserve">) </w:t>
      </w:r>
      <w:r w:rsidRPr="00954898">
        <w:rPr>
          <w:szCs w:val="24"/>
        </w:rPr>
        <w:t xml:space="preserve">referred to in </w:t>
      </w:r>
      <w:r w:rsidRPr="00954898">
        <w:rPr>
          <w:i/>
          <w:szCs w:val="24"/>
        </w:rPr>
        <w:t xml:space="preserve">considering g) </w:t>
      </w:r>
      <w:r w:rsidRPr="00954898">
        <w:rPr>
          <w:szCs w:val="24"/>
          <w:lang w:val="en-CA"/>
        </w:rPr>
        <w:t xml:space="preserve">for which complete coordination information related to No. </w:t>
      </w:r>
      <w:r w:rsidRPr="00954898">
        <w:rPr>
          <w:b/>
          <w:bCs/>
        </w:rPr>
        <w:t>9.21</w:t>
      </w:r>
      <w:r w:rsidRPr="00954898">
        <w:rPr>
          <w:szCs w:val="24"/>
          <w:lang w:val="en-CA"/>
        </w:rPr>
        <w:t xml:space="preserve"> has been received by the Radiocommunication Bureau prior to</w:t>
      </w:r>
      <w:r w:rsidRPr="00954898">
        <w:rPr>
          <w:szCs w:val="24"/>
        </w:rPr>
        <w:t xml:space="preserve"> the end of WRC-19 shall operate on a primary basis, and that, for those systems, the </w:t>
      </w:r>
      <w:r w:rsidRPr="00954898">
        <w:rPr>
          <w:szCs w:val="24"/>
          <w:lang w:val="en-CA"/>
        </w:rPr>
        <w:t xml:space="preserve">relevant provisions of Articles </w:t>
      </w:r>
      <w:r w:rsidRPr="00954898">
        <w:rPr>
          <w:b/>
          <w:bCs/>
        </w:rPr>
        <w:t>9</w:t>
      </w:r>
      <w:r w:rsidRPr="00954898">
        <w:rPr>
          <w:szCs w:val="24"/>
          <w:lang w:val="en-CA"/>
        </w:rPr>
        <w:t xml:space="preserve"> and </w:t>
      </w:r>
      <w:r w:rsidRPr="00954898">
        <w:rPr>
          <w:b/>
          <w:bCs/>
        </w:rPr>
        <w:t>11</w:t>
      </w:r>
      <w:r w:rsidRPr="00954898">
        <w:rPr>
          <w:szCs w:val="24"/>
        </w:rPr>
        <w:t xml:space="preserve"> continue to apply, and the relevant agreements obtained under No. </w:t>
      </w:r>
      <w:r w:rsidRPr="00954898">
        <w:rPr>
          <w:b/>
          <w:bCs/>
        </w:rPr>
        <w:t>9.21</w:t>
      </w:r>
      <w:r w:rsidRPr="00954898">
        <w:rPr>
          <w:szCs w:val="24"/>
        </w:rPr>
        <w:t xml:space="preserve"> remain in force after the end of WRC-19;</w:t>
      </w:r>
    </w:p>
    <w:p w:rsidR="00D864AF" w:rsidRPr="00954898" w:rsidRDefault="00D864AF" w:rsidP="00D864AF">
      <w:r w:rsidRPr="00954898">
        <w:rPr>
          <w:szCs w:val="24"/>
        </w:rPr>
        <w:t>5</w:t>
      </w:r>
      <w:r w:rsidRPr="00954898">
        <w:rPr>
          <w:szCs w:val="24"/>
        </w:rPr>
        <w:tab/>
      </w:r>
      <w:r w:rsidRPr="00954898">
        <w:t xml:space="preserve">that in the frequency band 460-470 MHz, earth stations in the meteorological satellite service (space-to-Earth) and Earth exploration-satellite service (space-to-Earth) shall not claim </w:t>
      </w:r>
      <w:r w:rsidRPr="00954898">
        <w:lastRenderedPageBreak/>
        <w:t>protection from stations of the fixed and mobile services</w:t>
      </w:r>
      <w:r w:rsidR="00415337">
        <w:t xml:space="preserve"> </w:t>
      </w:r>
      <w:r w:rsidRPr="00954898">
        <w:t xml:space="preserve">in the frequency band 460-470 MHz, and shall not claim protection from stations of the broadcasting service operating in the adjacent band, unless other </w:t>
      </w:r>
      <w:r w:rsidRPr="00954898">
        <w:rPr>
          <w:szCs w:val="24"/>
        </w:rPr>
        <w:t xml:space="preserve">agreements were obtained under No. </w:t>
      </w:r>
      <w:r w:rsidRPr="00954898">
        <w:rPr>
          <w:b/>
          <w:bCs/>
        </w:rPr>
        <w:t xml:space="preserve">9.21 </w:t>
      </w:r>
      <w:r w:rsidRPr="00954898">
        <w:rPr>
          <w:szCs w:val="24"/>
          <w:lang w:val="en-CA"/>
        </w:rPr>
        <w:t>prior to</w:t>
      </w:r>
      <w:r w:rsidRPr="00954898">
        <w:rPr>
          <w:szCs w:val="24"/>
        </w:rPr>
        <w:t xml:space="preserve"> the end of WRC-19. No. </w:t>
      </w:r>
      <w:r w:rsidRPr="00954898">
        <w:rPr>
          <w:b/>
          <w:szCs w:val="24"/>
        </w:rPr>
        <w:t>5.43A</w:t>
      </w:r>
      <w:r w:rsidRPr="00954898">
        <w:rPr>
          <w:szCs w:val="24"/>
        </w:rPr>
        <w:t xml:space="preserve"> does not apply</w:t>
      </w:r>
      <w:r w:rsidRPr="00954898">
        <w:t>;</w:t>
      </w:r>
    </w:p>
    <w:p w:rsidR="00D864AF" w:rsidRPr="00954898" w:rsidRDefault="00D864AF" w:rsidP="00D864AF">
      <w:pPr>
        <w:rPr>
          <w:szCs w:val="24"/>
        </w:rPr>
      </w:pPr>
      <w:r w:rsidRPr="00954898">
        <w:rPr>
          <w:szCs w:val="14"/>
          <w:lang w:val="en-US"/>
        </w:rPr>
        <w:t>6</w:t>
      </w:r>
      <w:r w:rsidRPr="00954898">
        <w:rPr>
          <w:szCs w:val="14"/>
          <w:lang w:val="en-US"/>
        </w:rPr>
        <w:tab/>
        <w:t xml:space="preserve">that </w:t>
      </w:r>
      <w:r w:rsidRPr="00954898">
        <w:t>in the frequency band 460-470 MHz, stations in the Earth exploration-satellite service (space-to-Earth) shall not cause harmful interference to nor claim protection from stations in the meteorological-satellite service (space-to-Earth)</w:t>
      </w:r>
      <w:r w:rsidRPr="00954898">
        <w:rPr>
          <w:szCs w:val="24"/>
        </w:rPr>
        <w:t>,</w:t>
      </w:r>
    </w:p>
    <w:p w:rsidR="00D864AF" w:rsidRDefault="00D864AF" w:rsidP="00D864AF">
      <w:pPr>
        <w:pStyle w:val="call0"/>
        <w:rPr>
          <w:lang w:val="en-CA"/>
        </w:rPr>
      </w:pPr>
      <w:r w:rsidRPr="00954898">
        <w:rPr>
          <w:lang w:val="en-CA"/>
        </w:rPr>
        <w:t>instructs the Director of the Radiocommunication Bureau</w:t>
      </w:r>
    </w:p>
    <w:p w:rsidR="00684DCD" w:rsidRDefault="00684DCD" w:rsidP="00684DCD">
      <w:pPr>
        <w:rPr>
          <w:lang w:val="en-CA"/>
        </w:rPr>
      </w:pPr>
      <w:r w:rsidRPr="00684DCD">
        <w:rPr>
          <w:lang w:val="en-CA"/>
        </w:rPr>
        <w:t xml:space="preserve">for the frequency assignment of MetSat (space-to-Earth) and EESS (space-to-Earth) satellite network for which complete notification information or coordination request was received by the Radiocommunication Bureau prior to the end of WRC 19, the Bureau shall review the finding under No. </w:t>
      </w:r>
      <w:r w:rsidRPr="00684DCD">
        <w:rPr>
          <w:b/>
          <w:lang w:val="en-CA"/>
        </w:rPr>
        <w:t>11.50</w:t>
      </w:r>
      <w:r w:rsidRPr="00684DCD">
        <w:rPr>
          <w:lang w:val="en-CA"/>
        </w:rPr>
        <w:t xml:space="preserve"> without requiring the administration to submit a new assignment. The date of such assignment’s original recording in the Master International Frequency Register (MIFR) shall remain unchanged. For satellite systems of MetSat (space-to-Earth) and EESS (space-to-Earth), which space stations do not meet the pfd limits given in </w:t>
      </w:r>
      <w:r w:rsidRPr="00684DCD">
        <w:rPr>
          <w:i/>
          <w:lang w:val="en-CA"/>
        </w:rPr>
        <w:t>resolves 1</w:t>
      </w:r>
      <w:r w:rsidRPr="00684DCD">
        <w:rPr>
          <w:lang w:val="en-CA"/>
        </w:rPr>
        <w:t>, the Bureau shall propose the notifying administration to provide commitment that harmful interference would not be caused to the fixed and mobile service stations. In case of receiving such a commitment, relevant frequency assignments shall have primary status and be published by the Bureau in relevant parts of the BR</w:t>
      </w:r>
      <w:r>
        <w:rPr>
          <w:lang w:val="en-CA"/>
        </w:rPr>
        <w:t> </w:t>
      </w:r>
      <w:r w:rsidRPr="00684DCD">
        <w:rPr>
          <w:lang w:val="en-CA"/>
        </w:rPr>
        <w:t xml:space="preserve">IFIC with note that the relevant administration has provided commitment not to cause harmful interference to the fixed and mobile service stations. If the notifying administration does not provide this commitment and requests to retain the assignment and states that it will be operated under No. </w:t>
      </w:r>
      <w:r w:rsidRPr="00684DCD">
        <w:rPr>
          <w:b/>
          <w:lang w:val="en-CA"/>
        </w:rPr>
        <w:t>4.4</w:t>
      </w:r>
      <w:r w:rsidRPr="00684DCD">
        <w:rPr>
          <w:lang w:val="en-CA"/>
        </w:rPr>
        <w:t xml:space="preserve">, the assignment shall be kept in MIFR for information purposes under the conditions of No. </w:t>
      </w:r>
      <w:r w:rsidRPr="00684DCD">
        <w:rPr>
          <w:b/>
          <w:lang w:val="en-CA"/>
        </w:rPr>
        <w:t>8.5</w:t>
      </w:r>
      <w:r w:rsidRPr="00684DCD">
        <w:rPr>
          <w:lang w:val="en-CA"/>
        </w:rPr>
        <w:t>. If no reply is received within 30 days after the date of the Bureau communication, the Bureau shall send a reminder. If no reply is received from the relevant administration within 30</w:t>
      </w:r>
      <w:r>
        <w:rPr>
          <w:lang w:val="en-CA"/>
        </w:rPr>
        <w:t> </w:t>
      </w:r>
      <w:r w:rsidRPr="00684DCD">
        <w:rPr>
          <w:lang w:val="en-CA"/>
        </w:rPr>
        <w:t>days after the date of reminder, the Bureau shall suppress the concerned recorded assignment from the MIFR,</w:t>
      </w:r>
    </w:p>
    <w:p w:rsidR="00684DCD" w:rsidRDefault="00684DCD" w:rsidP="00684DCD">
      <w:pPr>
        <w:pStyle w:val="call0"/>
        <w:rPr>
          <w:lang w:val="en-CA"/>
        </w:rPr>
      </w:pPr>
      <w:r w:rsidRPr="00684DCD">
        <w:rPr>
          <w:lang w:val="en-CA"/>
        </w:rPr>
        <w:t>invites ITU-R</w:t>
      </w:r>
    </w:p>
    <w:p w:rsidR="00684DCD" w:rsidRPr="00684DCD" w:rsidRDefault="00684DCD" w:rsidP="00684DCD">
      <w:r w:rsidRPr="00684DCD">
        <w:t>to undertake studies with respect to the implementation of sharing of the 460-470 MHz frequency band between geostationary satellite networks and non-geostationary satellite networks for future DCS systems, including general partitioning of the band.</w:t>
      </w:r>
    </w:p>
    <w:p w:rsidR="00684DCD" w:rsidRDefault="00684DCD" w:rsidP="00684DCD">
      <w:pPr>
        <w:pStyle w:val="Reasons"/>
      </w:pPr>
      <w:r>
        <w:rPr>
          <w:b/>
        </w:rPr>
        <w:t>Reasons:</w:t>
      </w:r>
      <w:r>
        <w:tab/>
      </w:r>
      <w:r w:rsidRPr="00684DCD">
        <w:t>The Resolution includes the regulatory measures to protect the fixed and mobile services, the regulatory measure to assure priority of MetSat service over EESS and the grandfathering measures for existing data collection systems.</w:t>
      </w:r>
    </w:p>
    <w:p w:rsidR="00482BE0" w:rsidRDefault="00D864AF">
      <w:pPr>
        <w:pStyle w:val="Proposal"/>
      </w:pPr>
      <w:r>
        <w:t>SUP</w:t>
      </w:r>
      <w:r>
        <w:tab/>
        <w:t>EUR/XXXX</w:t>
      </w:r>
      <w:r w:rsidR="00762EDC">
        <w:t>A3/</w:t>
      </w:r>
      <w:r>
        <w:t>8</w:t>
      </w:r>
    </w:p>
    <w:p w:rsidR="00762EDC" w:rsidRPr="00755316" w:rsidRDefault="00762EDC" w:rsidP="00762EDC">
      <w:pPr>
        <w:pStyle w:val="ResNo"/>
      </w:pPr>
      <w:bookmarkStart w:id="52" w:name="_Toc450048848"/>
      <w:r w:rsidRPr="00755316">
        <w:t xml:space="preserve">RESOLUTION </w:t>
      </w:r>
      <w:r w:rsidRPr="006B1750">
        <w:rPr>
          <w:rStyle w:val="href"/>
        </w:rPr>
        <w:t>766</w:t>
      </w:r>
      <w:r w:rsidRPr="00755316">
        <w:t xml:space="preserve"> (WRC-15)</w:t>
      </w:r>
      <w:bookmarkEnd w:id="52"/>
    </w:p>
    <w:p w:rsidR="00762EDC" w:rsidRPr="00755316" w:rsidRDefault="00762EDC" w:rsidP="00762EDC">
      <w:pPr>
        <w:pStyle w:val="Restitle"/>
      </w:pPr>
      <w:bookmarkStart w:id="53" w:name="_Toc450048849"/>
      <w:r w:rsidRPr="00755316">
        <w:t>Consideration of possible upgrading of the secondary allocation to the meteorological-satellite service (space-to-Earth) to primary</w:t>
      </w:r>
      <w:r w:rsidR="002D4150">
        <w:t xml:space="preserve"> </w:t>
      </w:r>
      <w:r w:rsidRPr="00755316">
        <w:t>status</w:t>
      </w:r>
      <w:r w:rsidR="002D4150">
        <w:t xml:space="preserve"> </w:t>
      </w:r>
      <w:r w:rsidRPr="00755316">
        <w:t>and a primary allocation to the Earth exploration-satellite service (space-to-Earth) in the frequency band 460-470 MHz</w:t>
      </w:r>
      <w:bookmarkEnd w:id="53"/>
    </w:p>
    <w:p w:rsidR="00482BE0" w:rsidRDefault="00762EDC">
      <w:pPr>
        <w:pStyle w:val="Reasons"/>
      </w:pPr>
      <w:r>
        <w:rPr>
          <w:b/>
        </w:rPr>
        <w:t>Reasons:</w:t>
      </w:r>
      <w:r>
        <w:tab/>
      </w:r>
      <w:r w:rsidR="00D864AF" w:rsidRPr="00125F93">
        <w:t>The Resolution is no longer necessary.</w:t>
      </w:r>
    </w:p>
    <w:p w:rsidR="002D4150" w:rsidRDefault="002D4150" w:rsidP="002D4150">
      <w:pPr>
        <w:pStyle w:val="AnnexNo"/>
      </w:pPr>
      <w:r>
        <w:t>_______________</w:t>
      </w:r>
    </w:p>
    <w:sectPr w:rsidR="002D4150">
      <w:headerReference w:type="default" r:id="rId23"/>
      <w:footerReference w:type="even" r:id="rId24"/>
      <w:footerReference w:type="default" r:id="rId25"/>
      <w:footerReference w:type="first" r:id="rId26"/>
      <w:type w:val="nextColumn"/>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912" w:rsidRDefault="00850912">
      <w:r>
        <w:separator/>
      </w:r>
    </w:p>
  </w:endnote>
  <w:endnote w:type="continuationSeparator" w:id="0">
    <w:p w:rsidR="00850912" w:rsidRDefault="0085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4D"/>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7F" w:rsidRDefault="00EA6D7F">
    <w:pPr>
      <w:framePr w:wrap="around" w:vAnchor="text" w:hAnchor="margin" w:xAlign="right" w:y="1"/>
    </w:pPr>
    <w:r>
      <w:fldChar w:fldCharType="begin"/>
    </w:r>
    <w:r>
      <w:instrText xml:space="preserve">PAGE  </w:instrText>
    </w:r>
    <w:r>
      <w:fldChar w:fldCharType="end"/>
    </w:r>
  </w:p>
  <w:p w:rsidR="00EA6D7F" w:rsidRPr="0041348E" w:rsidRDefault="00EA6D7F">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9F24FA">
      <w:rPr>
        <w:noProof/>
      </w:rPr>
      <w:t>24.05.19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7F" w:rsidRDefault="00EA6D7F" w:rsidP="00A30305">
    <w:pPr>
      <w:pStyle w:val="Footer"/>
    </w:pPr>
    <w:r>
      <w:fldChar w:fldCharType="begin"/>
    </w:r>
    <w:r w:rsidRPr="0041348E">
      <w:rPr>
        <w:lang w:val="en-US"/>
      </w:rPr>
      <w:instrText xml:space="preserve"> FILENAME \p  \* MERGEFORMAT </w:instrText>
    </w:r>
    <w:r>
      <w:fldChar w:fldCharType="separate"/>
    </w:r>
    <w:r>
      <w:rPr>
        <w:lang w:val="en-US"/>
      </w:rPr>
      <w:t>CPG(19)075 ANNEX V-03 - Draft ECP on AI 1.3</w:t>
    </w:r>
    <w:r>
      <w:fldChar w:fldCharType="end"/>
    </w:r>
    <w:r w:rsidRPr="0041348E">
      <w:rPr>
        <w:lang w:val="en-US"/>
      </w:rPr>
      <w:tab/>
    </w:r>
    <w:r>
      <w:fldChar w:fldCharType="begin"/>
    </w:r>
    <w:r>
      <w:instrText xml:space="preserve"> SAVEDATE \@ DD.MM.YY </w:instrText>
    </w:r>
    <w:r>
      <w:fldChar w:fldCharType="separate"/>
    </w:r>
    <w:r w:rsidR="009F24FA">
      <w:t>24.05.19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7F" w:rsidRPr="0041348E" w:rsidRDefault="00EA6D7F"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CPG(19)075 ANNEX V-03 - Draft ECP on AI 1.3</w:t>
    </w:r>
    <w:r>
      <w:fldChar w:fldCharType="end"/>
    </w:r>
    <w:r w:rsidRPr="0041348E">
      <w:rPr>
        <w:lang w:val="en-US"/>
      </w:rPr>
      <w:tab/>
    </w:r>
    <w:r>
      <w:fldChar w:fldCharType="begin"/>
    </w:r>
    <w:r>
      <w:instrText xml:space="preserve"> SAVEDATE \@ DD.MM.YY </w:instrText>
    </w:r>
    <w:r>
      <w:fldChar w:fldCharType="separate"/>
    </w:r>
    <w:r w:rsidR="009F24FA">
      <w:t>24.05.19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7F" w:rsidRDefault="00EA6D7F">
    <w:pPr>
      <w:framePr w:wrap="around" w:vAnchor="text" w:hAnchor="margin" w:xAlign="right" w:y="1"/>
    </w:pPr>
    <w:r>
      <w:fldChar w:fldCharType="begin"/>
    </w:r>
    <w:r>
      <w:instrText xml:space="preserve">PAGE  </w:instrText>
    </w:r>
    <w:r>
      <w:fldChar w:fldCharType="end"/>
    </w:r>
  </w:p>
  <w:p w:rsidR="00EA6D7F" w:rsidRPr="0041348E" w:rsidRDefault="00EA6D7F">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9F24FA">
      <w:rPr>
        <w:noProof/>
      </w:rPr>
      <w:t>24.05.19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7F" w:rsidRDefault="00EA6D7F" w:rsidP="00A92C55">
    <w:pPr>
      <w:pStyle w:val="Footer"/>
    </w:pPr>
    <w:r>
      <w:fldChar w:fldCharType="begin"/>
    </w:r>
    <w:r w:rsidRPr="0041348E">
      <w:rPr>
        <w:lang w:val="en-US"/>
      </w:rPr>
      <w:instrText xml:space="preserve"> FILENAME \p  \* MERGEFORMAT </w:instrText>
    </w:r>
    <w:r>
      <w:fldChar w:fldCharType="separate"/>
    </w:r>
    <w:r>
      <w:rPr>
        <w:lang w:val="en-US"/>
      </w:rPr>
      <w:t>CPG(19)075 ANNEX V-03 - Draft ECP on AI 1.3</w:t>
    </w:r>
    <w:r>
      <w:fldChar w:fldCharType="end"/>
    </w:r>
    <w:r w:rsidRPr="0041348E">
      <w:rPr>
        <w:lang w:val="en-US"/>
      </w:rPr>
      <w:tab/>
    </w:r>
    <w:r>
      <w:fldChar w:fldCharType="begin"/>
    </w:r>
    <w:r>
      <w:instrText xml:space="preserve"> SAVEDATE \@ DD.MM.YY </w:instrText>
    </w:r>
    <w:r>
      <w:fldChar w:fldCharType="separate"/>
    </w:r>
    <w:r w:rsidR="009F24FA">
      <w:t>24.05.19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7F" w:rsidRPr="0041348E" w:rsidRDefault="00EA6D7F" w:rsidP="00415337">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9F24FA">
      <w:t>24.05.19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7F" w:rsidRDefault="00EA6D7F">
    <w:pPr>
      <w:framePr w:wrap="around" w:vAnchor="text" w:hAnchor="margin" w:xAlign="right" w:y="1"/>
    </w:pPr>
    <w:r>
      <w:fldChar w:fldCharType="begin"/>
    </w:r>
    <w:r>
      <w:instrText xml:space="preserve">PAGE  </w:instrText>
    </w:r>
    <w:r>
      <w:fldChar w:fldCharType="end"/>
    </w:r>
  </w:p>
  <w:p w:rsidR="00EA6D7F" w:rsidRPr="0041348E" w:rsidRDefault="00EA6D7F">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9F24FA">
      <w:rPr>
        <w:noProof/>
      </w:rPr>
      <w:t>24.05.19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7F" w:rsidRDefault="00EA6D7F" w:rsidP="00A30305">
    <w:pPr>
      <w:pStyle w:val="Footer"/>
    </w:pPr>
    <w:r>
      <w:fldChar w:fldCharType="begin"/>
    </w:r>
    <w:r w:rsidRPr="0041348E">
      <w:rPr>
        <w:lang w:val="en-US"/>
      </w:rPr>
      <w:instrText xml:space="preserve"> FILENAME \p  \* MERGEFORMAT </w:instrText>
    </w:r>
    <w:r>
      <w:fldChar w:fldCharType="separate"/>
    </w:r>
    <w:r>
      <w:rPr>
        <w:lang w:val="en-US"/>
      </w:rPr>
      <w:t>CPG(19)075 ANNEX V-03 - Draft ECP on AI 1.3</w:t>
    </w:r>
    <w:r>
      <w:fldChar w:fldCharType="end"/>
    </w:r>
    <w:r w:rsidRPr="0041348E">
      <w:rPr>
        <w:lang w:val="en-US"/>
      </w:rPr>
      <w:tab/>
    </w:r>
    <w:r>
      <w:fldChar w:fldCharType="begin"/>
    </w:r>
    <w:r>
      <w:instrText xml:space="preserve"> SAVEDATE \@ DD.MM.YY </w:instrText>
    </w:r>
    <w:r>
      <w:fldChar w:fldCharType="separate"/>
    </w:r>
    <w:r w:rsidR="009F24FA">
      <w:t>24.05.19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7F" w:rsidRPr="0041348E" w:rsidRDefault="00EA6D7F"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9F24FA">
      <w:t>24.05.19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912" w:rsidRDefault="00850912">
      <w:r>
        <w:rPr>
          <w:b/>
        </w:rPr>
        <w:t>_______________</w:t>
      </w:r>
    </w:p>
  </w:footnote>
  <w:footnote w:type="continuationSeparator" w:id="0">
    <w:p w:rsidR="00850912" w:rsidRDefault="00850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7F" w:rsidRDefault="00EA6D7F" w:rsidP="00187BD9">
    <w:pPr>
      <w:pStyle w:val="Header"/>
    </w:pPr>
    <w:r>
      <w:fldChar w:fldCharType="begin"/>
    </w:r>
    <w:r>
      <w:instrText xml:space="preserve"> PAGE  \* MERGEFORMAT </w:instrText>
    </w:r>
    <w:r>
      <w:fldChar w:fldCharType="separate"/>
    </w:r>
    <w:r w:rsidR="009F24FA">
      <w:rPr>
        <w:noProof/>
      </w:rPr>
      <w:t>5</w:t>
    </w:r>
    <w:r>
      <w:fldChar w:fldCharType="end"/>
    </w:r>
  </w:p>
  <w:p w:rsidR="00EA6D7F" w:rsidRPr="00A066F1" w:rsidRDefault="00EA6D7F" w:rsidP="00241FA2">
    <w:pPr>
      <w:pStyle w:val="Header"/>
    </w:pPr>
    <w:r>
      <w:t>CMR19/XXXX(Add.3)-</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7F" w:rsidRDefault="00EA6D7F" w:rsidP="00A92C55">
    <w:pPr>
      <w:pStyle w:val="Header"/>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7F" w:rsidRDefault="00EA6D7F" w:rsidP="00A92C55">
    <w:pPr>
      <w:pStyle w:val="Header"/>
    </w:pPr>
    <w:r>
      <w:fldChar w:fldCharType="begin"/>
    </w:r>
    <w:r>
      <w:instrText xml:space="preserve"> PAGE  \* MERGEFORMAT </w:instrText>
    </w:r>
    <w:r>
      <w:fldChar w:fldCharType="separate"/>
    </w:r>
    <w:r w:rsidR="009F24FA">
      <w:rPr>
        <w:noProof/>
      </w:rPr>
      <w:t>6</w:t>
    </w:r>
    <w:r>
      <w:fldChar w:fldCharType="end"/>
    </w:r>
  </w:p>
  <w:p w:rsidR="00EA6D7F" w:rsidRPr="00A066F1" w:rsidRDefault="00EA6D7F" w:rsidP="00A92C55">
    <w:pPr>
      <w:pStyle w:val="Header"/>
    </w:pPr>
    <w:r>
      <w:t>CMR19/XXXX(Add.3)-</w:t>
    </w:r>
    <w:r w:rsidRPr="004A26C4">
      <w:t>E</w:t>
    </w:r>
  </w:p>
  <w:p w:rsidR="00EA6D7F" w:rsidRPr="00916809" w:rsidRDefault="00EA6D7F" w:rsidP="004153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7F" w:rsidRDefault="00EA6D7F" w:rsidP="00187BD9">
    <w:pPr>
      <w:pStyle w:val="Header"/>
    </w:pPr>
    <w:r>
      <w:fldChar w:fldCharType="begin"/>
    </w:r>
    <w:r>
      <w:instrText xml:space="preserve"> PAGE  \* MERGEFORMAT </w:instrText>
    </w:r>
    <w:r>
      <w:fldChar w:fldCharType="separate"/>
    </w:r>
    <w:r w:rsidR="009F24FA">
      <w:rPr>
        <w:noProof/>
      </w:rPr>
      <w:t>9</w:t>
    </w:r>
    <w:r>
      <w:fldChar w:fldCharType="end"/>
    </w:r>
  </w:p>
  <w:p w:rsidR="00EA6D7F" w:rsidRPr="00A066F1" w:rsidRDefault="00EA6D7F" w:rsidP="00241FA2">
    <w:pPr>
      <w:pStyle w:val="Header"/>
    </w:pPr>
    <w:r>
      <w:t>CMR19/</w:t>
    </w:r>
    <w:bookmarkStart w:id="54" w:name="OLE_LINK1"/>
    <w:bookmarkStart w:id="55" w:name="OLE_LINK2"/>
    <w:bookmarkStart w:id="56" w:name="OLE_LINK3"/>
    <w:r>
      <w:t>XXXX(Add.3)</w:t>
    </w:r>
    <w:bookmarkEnd w:id="54"/>
    <w:bookmarkEnd w:id="55"/>
    <w:bookmarkEnd w:id="56"/>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5C376208"/>
    <w:multiLevelType w:val="hybridMultilevel"/>
    <w:tmpl w:val="25C2117C"/>
    <w:lvl w:ilvl="0" w:tplc="4D647F6E">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BR">
    <w15:presenceInfo w15:providerId="None" w15:userId="ITU-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36049"/>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1D6F"/>
    <w:rsid w:val="00216B6D"/>
    <w:rsid w:val="00241FA2"/>
    <w:rsid w:val="002645E0"/>
    <w:rsid w:val="00271316"/>
    <w:rsid w:val="002B349C"/>
    <w:rsid w:val="002D4150"/>
    <w:rsid w:val="002D58BE"/>
    <w:rsid w:val="00361B37"/>
    <w:rsid w:val="00377BD3"/>
    <w:rsid w:val="00384088"/>
    <w:rsid w:val="003852CE"/>
    <w:rsid w:val="0039169B"/>
    <w:rsid w:val="003A7F8C"/>
    <w:rsid w:val="003B2284"/>
    <w:rsid w:val="003B532E"/>
    <w:rsid w:val="003D0F8B"/>
    <w:rsid w:val="003E0DB6"/>
    <w:rsid w:val="003E29E7"/>
    <w:rsid w:val="0041348E"/>
    <w:rsid w:val="00415337"/>
    <w:rsid w:val="00420873"/>
    <w:rsid w:val="00482BE0"/>
    <w:rsid w:val="00492075"/>
    <w:rsid w:val="004969AD"/>
    <w:rsid w:val="004A26C4"/>
    <w:rsid w:val="004B13CB"/>
    <w:rsid w:val="004D26EA"/>
    <w:rsid w:val="004D2BFB"/>
    <w:rsid w:val="004D5D5C"/>
    <w:rsid w:val="004F3DC0"/>
    <w:rsid w:val="0050139F"/>
    <w:rsid w:val="005211CA"/>
    <w:rsid w:val="0055140B"/>
    <w:rsid w:val="00584A49"/>
    <w:rsid w:val="005964AB"/>
    <w:rsid w:val="005A2A9A"/>
    <w:rsid w:val="005C099A"/>
    <w:rsid w:val="005C31A5"/>
    <w:rsid w:val="005E10C9"/>
    <w:rsid w:val="005E290B"/>
    <w:rsid w:val="005E61DD"/>
    <w:rsid w:val="005F04D8"/>
    <w:rsid w:val="006023DF"/>
    <w:rsid w:val="006041D0"/>
    <w:rsid w:val="00615426"/>
    <w:rsid w:val="00616219"/>
    <w:rsid w:val="00645B7D"/>
    <w:rsid w:val="00657DE0"/>
    <w:rsid w:val="00684DCD"/>
    <w:rsid w:val="00685313"/>
    <w:rsid w:val="006923C0"/>
    <w:rsid w:val="00692833"/>
    <w:rsid w:val="006A6E9B"/>
    <w:rsid w:val="006B7C2A"/>
    <w:rsid w:val="006C23DA"/>
    <w:rsid w:val="006E3D45"/>
    <w:rsid w:val="0070607A"/>
    <w:rsid w:val="007149F9"/>
    <w:rsid w:val="00733A30"/>
    <w:rsid w:val="00737E0F"/>
    <w:rsid w:val="00745AEE"/>
    <w:rsid w:val="00750F10"/>
    <w:rsid w:val="00762EDC"/>
    <w:rsid w:val="007742CA"/>
    <w:rsid w:val="00790D70"/>
    <w:rsid w:val="007A6F1F"/>
    <w:rsid w:val="007D2B79"/>
    <w:rsid w:val="007D5320"/>
    <w:rsid w:val="00800972"/>
    <w:rsid w:val="00804475"/>
    <w:rsid w:val="00811633"/>
    <w:rsid w:val="00814037"/>
    <w:rsid w:val="00841216"/>
    <w:rsid w:val="00842AF0"/>
    <w:rsid w:val="00850912"/>
    <w:rsid w:val="0086171E"/>
    <w:rsid w:val="00872FC8"/>
    <w:rsid w:val="008845D0"/>
    <w:rsid w:val="00884D60"/>
    <w:rsid w:val="008B43F2"/>
    <w:rsid w:val="008B6CFF"/>
    <w:rsid w:val="009274B4"/>
    <w:rsid w:val="00934EA2"/>
    <w:rsid w:val="00936E20"/>
    <w:rsid w:val="00944A5C"/>
    <w:rsid w:val="00952A66"/>
    <w:rsid w:val="009B7C9A"/>
    <w:rsid w:val="009C56E5"/>
    <w:rsid w:val="009C7716"/>
    <w:rsid w:val="009E5FC8"/>
    <w:rsid w:val="009E687A"/>
    <w:rsid w:val="009F236F"/>
    <w:rsid w:val="009F24FA"/>
    <w:rsid w:val="00A01E14"/>
    <w:rsid w:val="00A066F1"/>
    <w:rsid w:val="00A141AF"/>
    <w:rsid w:val="00A16D29"/>
    <w:rsid w:val="00A30305"/>
    <w:rsid w:val="00A31D2D"/>
    <w:rsid w:val="00A4600A"/>
    <w:rsid w:val="00A538A6"/>
    <w:rsid w:val="00A54C25"/>
    <w:rsid w:val="00A63CE5"/>
    <w:rsid w:val="00A710E7"/>
    <w:rsid w:val="00A7372E"/>
    <w:rsid w:val="00A8324A"/>
    <w:rsid w:val="00A92C55"/>
    <w:rsid w:val="00A93B85"/>
    <w:rsid w:val="00AA0B18"/>
    <w:rsid w:val="00AA3C65"/>
    <w:rsid w:val="00AA666F"/>
    <w:rsid w:val="00AD7914"/>
    <w:rsid w:val="00B31D20"/>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864AF"/>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A6D7F"/>
    <w:rsid w:val="00EB416C"/>
    <w:rsid w:val="00EB55C6"/>
    <w:rsid w:val="00EF1932"/>
    <w:rsid w:val="00EF71B6"/>
    <w:rsid w:val="00F00E0F"/>
    <w:rsid w:val="00F02766"/>
    <w:rsid w:val="00F0534B"/>
    <w:rsid w:val="00F05BD4"/>
    <w:rsid w:val="00F06473"/>
    <w:rsid w:val="00F6155B"/>
    <w:rsid w:val="00F65C19"/>
    <w:rsid w:val="00F65EF7"/>
    <w:rsid w:val="00FC221C"/>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link w:val="EquationChar"/>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EquationChar">
    <w:name w:val="Equation Char"/>
    <w:link w:val="Equation"/>
    <w:locked/>
    <w:rsid w:val="00762EDC"/>
    <w:rPr>
      <w:rFonts w:ascii="Times New Roman" w:hAnsi="Times New Roman"/>
      <w:sz w:val="24"/>
      <w:lang w:val="en-GB" w:eastAsia="en-US"/>
    </w:rPr>
  </w:style>
  <w:style w:type="character" w:customStyle="1" w:styleId="ProposalChar">
    <w:name w:val="Proposal Char"/>
    <w:basedOn w:val="DefaultParagraphFont"/>
    <w:link w:val="Proposal"/>
    <w:locked/>
    <w:rsid w:val="00D864AF"/>
    <w:rPr>
      <w:rFonts w:ascii="Times New Roman" w:hAnsi="Times New Roman Bold"/>
      <w:b/>
      <w:sz w:val="24"/>
      <w:lang w:val="en-GB" w:eastAsia="en-US"/>
    </w:rPr>
  </w:style>
  <w:style w:type="character" w:customStyle="1" w:styleId="ResNoChar">
    <w:name w:val="Res_No Char"/>
    <w:basedOn w:val="DefaultParagraphFont"/>
    <w:link w:val="ResNo"/>
    <w:locked/>
    <w:rsid w:val="00D864AF"/>
    <w:rPr>
      <w:rFonts w:ascii="Times New Roman" w:hAnsi="Times New Roman"/>
      <w:caps/>
      <w:sz w:val="28"/>
      <w:lang w:val="en-GB" w:eastAsia="en-US"/>
    </w:rPr>
  </w:style>
  <w:style w:type="character" w:customStyle="1" w:styleId="RestitleChar">
    <w:name w:val="Res_title Char"/>
    <w:basedOn w:val="DefaultParagraphFont"/>
    <w:link w:val="Restitle"/>
    <w:locked/>
    <w:rsid w:val="00D864AF"/>
    <w:rPr>
      <w:rFonts w:ascii="Times New Roman Bold" w:hAnsi="Times New Roman Bold"/>
      <w:b/>
      <w:sz w:val="28"/>
      <w:lang w:val="en-GB" w:eastAsia="en-US"/>
    </w:rPr>
  </w:style>
  <w:style w:type="paragraph" w:customStyle="1" w:styleId="call0">
    <w:name w:val="call"/>
    <w:basedOn w:val="Normal"/>
    <w:next w:val="Normal"/>
    <w:rsid w:val="00D864AF"/>
    <w:pPr>
      <w:keepNext/>
      <w:keepLines/>
      <w:tabs>
        <w:tab w:val="clear" w:pos="1134"/>
        <w:tab w:val="clear" w:pos="1871"/>
        <w:tab w:val="clear" w:pos="2268"/>
        <w:tab w:val="left" w:pos="794"/>
        <w:tab w:val="left" w:pos="1191"/>
        <w:tab w:val="left" w:pos="1588"/>
        <w:tab w:val="left" w:pos="1985"/>
      </w:tabs>
      <w:spacing w:before="160"/>
      <w:ind w:left="794"/>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link w:val="EquationChar"/>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EquationChar">
    <w:name w:val="Equation Char"/>
    <w:link w:val="Equation"/>
    <w:locked/>
    <w:rsid w:val="00762EDC"/>
    <w:rPr>
      <w:rFonts w:ascii="Times New Roman" w:hAnsi="Times New Roman"/>
      <w:sz w:val="24"/>
      <w:lang w:val="en-GB" w:eastAsia="en-US"/>
    </w:rPr>
  </w:style>
  <w:style w:type="character" w:customStyle="1" w:styleId="ProposalChar">
    <w:name w:val="Proposal Char"/>
    <w:basedOn w:val="DefaultParagraphFont"/>
    <w:link w:val="Proposal"/>
    <w:locked/>
    <w:rsid w:val="00D864AF"/>
    <w:rPr>
      <w:rFonts w:ascii="Times New Roman" w:hAnsi="Times New Roman Bold"/>
      <w:b/>
      <w:sz w:val="24"/>
      <w:lang w:val="en-GB" w:eastAsia="en-US"/>
    </w:rPr>
  </w:style>
  <w:style w:type="character" w:customStyle="1" w:styleId="ResNoChar">
    <w:name w:val="Res_No Char"/>
    <w:basedOn w:val="DefaultParagraphFont"/>
    <w:link w:val="ResNo"/>
    <w:locked/>
    <w:rsid w:val="00D864AF"/>
    <w:rPr>
      <w:rFonts w:ascii="Times New Roman" w:hAnsi="Times New Roman"/>
      <w:caps/>
      <w:sz w:val="28"/>
      <w:lang w:val="en-GB" w:eastAsia="en-US"/>
    </w:rPr>
  </w:style>
  <w:style w:type="character" w:customStyle="1" w:styleId="RestitleChar">
    <w:name w:val="Res_title Char"/>
    <w:basedOn w:val="DefaultParagraphFont"/>
    <w:link w:val="Restitle"/>
    <w:locked/>
    <w:rsid w:val="00D864AF"/>
    <w:rPr>
      <w:rFonts w:ascii="Times New Roman Bold" w:hAnsi="Times New Roman Bold"/>
      <w:b/>
      <w:sz w:val="28"/>
      <w:lang w:val="en-GB" w:eastAsia="en-US"/>
    </w:rPr>
  </w:style>
  <w:style w:type="paragraph" w:customStyle="1" w:styleId="call0">
    <w:name w:val="call"/>
    <w:basedOn w:val="Normal"/>
    <w:next w:val="Normal"/>
    <w:rsid w:val="00D864AF"/>
    <w:pPr>
      <w:keepNext/>
      <w:keepLines/>
      <w:tabs>
        <w:tab w:val="clear" w:pos="1134"/>
        <w:tab w:val="clear" w:pos="1871"/>
        <w:tab w:val="clear" w:pos="2268"/>
        <w:tab w:val="left" w:pos="794"/>
        <w:tab w:val="left" w:pos="1191"/>
        <w:tab w:val="left" w:pos="1588"/>
        <w:tab w:val="left" w:pos="1985"/>
      </w:tabs>
      <w:spacing w:before="160"/>
      <w:ind w:left="79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R16-WRC19-C-5212!A3!MSW-E</DPM_x0020_File_x0020_name>
    <DPM_x0020_Author xmlns="32a1a8c5-2265-4ebc-b7a0-2071e2c5c9bb" xsi:nil="false">Conference Proposals Interface (CPI)</DPM_x0020_Author>
    <DPM_x0020_Version xmlns="32a1a8c5-2265-4ebc-b7a0-2071e2c5c9bb" xsi:nil="false">CPI_2018.11.08.1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1A987CE3-CAF9-47D1-91BA-9A0A6553261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29A12D2-BE3D-4295-8B34-C750772B980C}">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FA4DF9-F462-42AF-9690-FFBCA928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2946</Words>
  <Characters>16794</Characters>
  <Application>Microsoft Office Word</Application>
  <DocSecurity>0</DocSecurity>
  <Lines>139</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R16-WRC19-C-5212!A3!MSW-E</vt:lpstr>
      <vt:lpstr>R16-WRC19-C-5212!A3!MSW-E</vt:lpstr>
    </vt:vector>
  </TitlesOfParts>
  <Manager>General Secretariat - Pool</Manager>
  <Company>International Telecommunication Union (ITU)</Company>
  <LinksUpToDate>false</LinksUpToDate>
  <CharactersWithSpaces>19701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R16-WRC19-C-5212!A3!MSW-E</dc:title>
  <dc:subject>World Radiocommunication Conference - 2019</dc:subject>
  <dc:creator>manias</dc:creator>
  <cp:keywords>CPI_2018.11.08.1</cp:keywords>
  <dc:description>Uploaded on 2015.07.06</dc:description>
  <cp:lastModifiedBy>CEPT</cp:lastModifiedBy>
  <cp:revision>3</cp:revision>
  <cp:lastPrinted>2017-02-10T08:23:00Z</cp:lastPrinted>
  <dcterms:created xsi:type="dcterms:W3CDTF">2019-05-24T05:07:00Z</dcterms:created>
  <dcterms:modified xsi:type="dcterms:W3CDTF">2019-05-27T12:02:00Z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