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92E45" w:rsidRPr="005E0416" w14:paraId="345903ED" w14:textId="77777777">
        <w:trPr>
          <w:cantSplit/>
        </w:trPr>
        <w:tc>
          <w:tcPr>
            <w:tcW w:w="6345" w:type="dxa"/>
          </w:tcPr>
          <w:p w14:paraId="20D91297" w14:textId="77777777" w:rsidR="00192E45" w:rsidRPr="005E0416" w:rsidRDefault="00192E45" w:rsidP="005E041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5E0416">
              <w:rPr>
                <w:rFonts w:ascii="Verdana" w:hAnsi="Verdana"/>
                <w:b/>
                <w:sz w:val="26"/>
                <w:szCs w:val="26"/>
              </w:rPr>
              <w:t>Radiocommunication Assembly (RA-19)</w:t>
            </w:r>
            <w:r w:rsidRPr="005E0416">
              <w:rPr>
                <w:rFonts w:ascii="Verdana" w:hAnsi="Verdana"/>
                <w:b/>
                <w:sz w:val="22"/>
                <w:szCs w:val="22"/>
              </w:rPr>
              <w:br/>
            </w:r>
            <w:r w:rsidR="005E0416" w:rsidRPr="005E0416">
              <w:rPr>
                <w:rFonts w:ascii="Verdana" w:hAnsi="Verdana"/>
                <w:b/>
                <w:bCs/>
                <w:sz w:val="20"/>
              </w:rPr>
              <w:t>Geneva</w:t>
            </w:r>
            <w:r w:rsidRPr="005E0416">
              <w:rPr>
                <w:rFonts w:ascii="Verdana" w:hAnsi="Verdana"/>
                <w:b/>
                <w:bCs/>
                <w:sz w:val="20"/>
              </w:rPr>
              <w:t>, 21-25 October 2019</w:t>
            </w:r>
          </w:p>
        </w:tc>
        <w:tc>
          <w:tcPr>
            <w:tcW w:w="3686" w:type="dxa"/>
          </w:tcPr>
          <w:p w14:paraId="42AAFA81" w14:textId="77777777" w:rsidR="00192E45" w:rsidRPr="005E0416" w:rsidRDefault="00192E45" w:rsidP="00D262CE">
            <w:pPr>
              <w:spacing w:line="240" w:lineRule="atLeast"/>
              <w:jc w:val="right"/>
            </w:pPr>
            <w:r w:rsidRPr="005E0416">
              <w:rPr>
                <w:noProof/>
                <w:lang w:val="en-US"/>
              </w:rPr>
              <w:drawing>
                <wp:inline distT="0" distB="0" distL="0" distR="0" wp14:anchorId="59E8F503" wp14:editId="590C698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45" w:rsidRPr="005E0416" w14:paraId="76A457D5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55F86580" w14:textId="77777777" w:rsidR="00192E45" w:rsidRPr="005E0416" w:rsidRDefault="00192E45" w:rsidP="00192E4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355AC780" w14:textId="77777777" w:rsidR="00192E45" w:rsidRPr="005E0416" w:rsidRDefault="00192E45" w:rsidP="00192E4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92E45" w:rsidRPr="005E0416" w14:paraId="131C6036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19CA7A85" w14:textId="77777777" w:rsidR="00192E45" w:rsidRPr="005E0416" w:rsidRDefault="00192E45" w:rsidP="00192E4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07CB08C7" w14:textId="77777777" w:rsidR="00192E45" w:rsidRPr="005E0416" w:rsidRDefault="00192E45" w:rsidP="00192E4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92E45" w:rsidRPr="005E0416" w14:paraId="4BE793BF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42A3A7A5" w14:textId="77777777" w:rsidR="00192E45" w:rsidRPr="005E0416" w:rsidRDefault="005E0416" w:rsidP="00192E4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5E0416">
              <w:rPr>
                <w:rFonts w:ascii="Verdana" w:hAnsi="Verdana"/>
                <w:b/>
                <w:smallCaps/>
                <w:sz w:val="20"/>
              </w:rPr>
              <w:t>PLENARY</w:t>
            </w:r>
          </w:p>
        </w:tc>
        <w:tc>
          <w:tcPr>
            <w:tcW w:w="3686" w:type="dxa"/>
          </w:tcPr>
          <w:p w14:paraId="1B634F58" w14:textId="45C3AE85" w:rsidR="00192E45" w:rsidRPr="005E0416" w:rsidRDefault="00F65B18" w:rsidP="005E041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A3602C">
              <w:rPr>
                <w:rFonts w:ascii="Verdana" w:hAnsi="Verdana"/>
                <w:sz w:val="20"/>
              </w:rPr>
              <w:t>CPG(19)1</w:t>
            </w:r>
            <w:r>
              <w:rPr>
                <w:rFonts w:ascii="Verdana" w:hAnsi="Verdana"/>
                <w:sz w:val="20"/>
              </w:rPr>
              <w:t>43</w:t>
            </w:r>
            <w:r w:rsidRPr="00A3602C">
              <w:rPr>
                <w:rFonts w:ascii="Verdana" w:hAnsi="Verdana"/>
                <w:sz w:val="20"/>
              </w:rPr>
              <w:t xml:space="preserve"> ANNEX VII-0</w:t>
            </w:r>
            <w:r>
              <w:rPr>
                <w:rFonts w:ascii="Verdana" w:hAnsi="Verdana"/>
                <w:sz w:val="20"/>
              </w:rPr>
              <w:t>3</w:t>
            </w:r>
            <w:r w:rsidR="005E0416" w:rsidRPr="005E0416">
              <w:rPr>
                <w:rFonts w:ascii="Verdana" w:hAnsi="Verdana"/>
                <w:b/>
                <w:sz w:val="20"/>
              </w:rPr>
              <w:br/>
            </w:r>
            <w:r w:rsidR="00192E45" w:rsidRPr="005E0416">
              <w:rPr>
                <w:rFonts w:ascii="Verdana" w:hAnsi="Verdana"/>
                <w:b/>
                <w:sz w:val="20"/>
              </w:rPr>
              <w:t>Document RA19/-E</w:t>
            </w:r>
          </w:p>
        </w:tc>
      </w:tr>
      <w:tr w:rsidR="00192E45" w:rsidRPr="005E0416" w14:paraId="2076F488" w14:textId="77777777">
        <w:trPr>
          <w:cantSplit/>
          <w:trHeight w:val="23"/>
        </w:trPr>
        <w:tc>
          <w:tcPr>
            <w:tcW w:w="6345" w:type="dxa"/>
            <w:vMerge/>
          </w:tcPr>
          <w:p w14:paraId="0E1BE9BF" w14:textId="77777777" w:rsidR="00192E45" w:rsidRPr="005E0416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14:paraId="5FE2F251" w14:textId="6E4CE64B" w:rsidR="00192E45" w:rsidRPr="005E0416" w:rsidRDefault="00F65B18" w:rsidP="005E041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30 August</w:t>
            </w:r>
            <w:bookmarkStart w:id="4" w:name="_GoBack"/>
            <w:bookmarkEnd w:id="4"/>
            <w:r w:rsidR="005E0416" w:rsidRPr="005E0416">
              <w:rPr>
                <w:rFonts w:ascii="Verdana" w:hAnsi="Verdana"/>
                <w:b/>
                <w:sz w:val="20"/>
              </w:rPr>
              <w:t xml:space="preserve"> </w:t>
            </w:r>
            <w:r w:rsidR="00192E45" w:rsidRPr="005E0416">
              <w:rPr>
                <w:rFonts w:ascii="Verdana" w:hAnsi="Verdana"/>
                <w:b/>
                <w:sz w:val="20"/>
              </w:rPr>
              <w:t>201</w:t>
            </w:r>
            <w:r w:rsidR="005E0416" w:rsidRPr="005E0416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192E45" w:rsidRPr="005E0416" w14:paraId="71FC53D1" w14:textId="77777777">
        <w:trPr>
          <w:cantSplit/>
          <w:trHeight w:val="23"/>
        </w:trPr>
        <w:tc>
          <w:tcPr>
            <w:tcW w:w="6345" w:type="dxa"/>
            <w:vMerge/>
          </w:tcPr>
          <w:p w14:paraId="0E8FB67D" w14:textId="77777777" w:rsidR="00192E45" w:rsidRPr="005E0416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3"/>
          </w:p>
        </w:tc>
        <w:tc>
          <w:tcPr>
            <w:tcW w:w="3686" w:type="dxa"/>
          </w:tcPr>
          <w:p w14:paraId="3A588BEA" w14:textId="77777777" w:rsidR="00192E45" w:rsidRPr="005E0416" w:rsidRDefault="00192E45" w:rsidP="00192E4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5E04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192E45" w:rsidRPr="005E0416" w14:paraId="40324166" w14:textId="77777777">
        <w:trPr>
          <w:cantSplit/>
        </w:trPr>
        <w:tc>
          <w:tcPr>
            <w:tcW w:w="10031" w:type="dxa"/>
            <w:gridSpan w:val="2"/>
          </w:tcPr>
          <w:p w14:paraId="78286186" w14:textId="77777777" w:rsidR="00192E45" w:rsidRPr="005E0416" w:rsidRDefault="005E0416">
            <w:pPr>
              <w:pStyle w:val="Source"/>
            </w:pPr>
            <w:bookmarkStart w:id="6" w:name="dsource" w:colFirst="0" w:colLast="0"/>
            <w:bookmarkEnd w:id="5"/>
            <w:r w:rsidRPr="005E0416">
              <w:t>European Common Proposal</w:t>
            </w:r>
          </w:p>
        </w:tc>
      </w:tr>
      <w:tr w:rsidR="00192E45" w:rsidRPr="005E0416" w14:paraId="20E8913F" w14:textId="77777777">
        <w:trPr>
          <w:cantSplit/>
        </w:trPr>
        <w:tc>
          <w:tcPr>
            <w:tcW w:w="10031" w:type="dxa"/>
            <w:gridSpan w:val="2"/>
          </w:tcPr>
          <w:p w14:paraId="6303B94C" w14:textId="77777777" w:rsidR="00192E45" w:rsidRPr="005E0416" w:rsidRDefault="005E0416">
            <w:pPr>
              <w:pStyle w:val="Title1"/>
            </w:pPr>
            <w:bookmarkStart w:id="7" w:name="dtitle1" w:colFirst="0" w:colLast="0"/>
            <w:bookmarkEnd w:id="6"/>
            <w:r w:rsidRPr="005E0416">
              <w:t>Proposal for the work OF THE ASSEMBLY</w:t>
            </w:r>
          </w:p>
        </w:tc>
      </w:tr>
      <w:tr w:rsidR="00192E45" w:rsidRPr="005E0416" w14:paraId="76AE513A" w14:textId="77777777">
        <w:trPr>
          <w:cantSplit/>
        </w:trPr>
        <w:tc>
          <w:tcPr>
            <w:tcW w:w="10031" w:type="dxa"/>
            <w:gridSpan w:val="2"/>
          </w:tcPr>
          <w:p w14:paraId="1518E24D" w14:textId="77777777" w:rsidR="00192E45" w:rsidRPr="005E0416" w:rsidRDefault="00192E45">
            <w:pPr>
              <w:pStyle w:val="Title2"/>
            </w:pPr>
            <w:bookmarkStart w:id="8" w:name="dtitle2" w:colFirst="0" w:colLast="0"/>
            <w:bookmarkEnd w:id="7"/>
          </w:p>
        </w:tc>
      </w:tr>
      <w:tr w:rsidR="00192E45" w:rsidRPr="005E0416" w14:paraId="783FC850" w14:textId="77777777">
        <w:trPr>
          <w:cantSplit/>
        </w:trPr>
        <w:tc>
          <w:tcPr>
            <w:tcW w:w="10031" w:type="dxa"/>
            <w:gridSpan w:val="2"/>
          </w:tcPr>
          <w:p w14:paraId="186F1330" w14:textId="77777777" w:rsidR="00192E45" w:rsidRPr="005E0416" w:rsidRDefault="005E0416">
            <w:pPr>
              <w:pStyle w:val="Title3"/>
            </w:pPr>
            <w:bookmarkStart w:id="9" w:name="dtitle3" w:colFirst="0" w:colLast="0"/>
            <w:bookmarkEnd w:id="8"/>
            <w:r w:rsidRPr="005E0416">
              <w:t>NEW RESOLUTION ITU-R [ITS]</w:t>
            </w:r>
          </w:p>
        </w:tc>
      </w:tr>
    </w:tbl>
    <w:p w14:paraId="41F4A7E3" w14:textId="77777777" w:rsidR="005E0416" w:rsidRPr="005E0416" w:rsidRDefault="005E0416" w:rsidP="005E0416">
      <w:pPr>
        <w:pStyle w:val="Headingb"/>
      </w:pPr>
      <w:bookmarkStart w:id="10" w:name="dbreak"/>
      <w:bookmarkStart w:id="11" w:name="_Toc451865291"/>
      <w:bookmarkEnd w:id="9"/>
      <w:bookmarkEnd w:id="10"/>
      <w:r w:rsidRPr="005E0416">
        <w:t>Introduction</w:t>
      </w:r>
    </w:p>
    <w:p w14:paraId="61D98EFF" w14:textId="77777777" w:rsidR="005E0416" w:rsidRPr="005E0416" w:rsidRDefault="005E0416" w:rsidP="00756AB4">
      <w:pPr>
        <w:rPr>
          <w:lang w:eastAsia="zh-CN"/>
        </w:rPr>
      </w:pPr>
      <w:r w:rsidRPr="005E0416">
        <w:rPr>
          <w:lang w:eastAsia="zh-CN"/>
        </w:rPr>
        <w:t xml:space="preserve">The results of the studies regarding ITS within ITU-R (Working Party 5A and CPM19-2) as well as the considerations of other regional groups regarding the practical issues of WRC-19 agenda item 1.12 have been carefully analysed within CEPT. </w:t>
      </w:r>
    </w:p>
    <w:p w14:paraId="724FBD2D" w14:textId="77777777" w:rsidR="005E0416" w:rsidRPr="005E0416" w:rsidRDefault="005E0416" w:rsidP="00756AB4">
      <w:pPr>
        <w:rPr>
          <w:lang w:eastAsia="zh-CN"/>
        </w:rPr>
      </w:pPr>
      <w:r w:rsidRPr="005E0416">
        <w:rPr>
          <w:lang w:eastAsia="zh-CN"/>
        </w:rPr>
        <w:t xml:space="preserve">It has been noted that one milestone of work on </w:t>
      </w:r>
      <w:proofErr w:type="gramStart"/>
      <w:r w:rsidRPr="005E0416">
        <w:rPr>
          <w:lang w:eastAsia="zh-CN"/>
        </w:rPr>
        <w:t>ITS</w:t>
      </w:r>
      <w:proofErr w:type="gramEnd"/>
      <w:r w:rsidRPr="005E0416">
        <w:rPr>
          <w:lang w:eastAsia="zh-CN"/>
        </w:rPr>
        <w:t xml:space="preserve"> has been achieved with the publication of Recommendation ITU-R M.2121. The overall work in Working Party 5A is still under progress and it seems to be unlikely that all necessary elements for a complete implementation of future ITS will be finalised within this study cycle. Additionally many ITU Members are interested in this outcome and its practical implementation aspects.</w:t>
      </w:r>
    </w:p>
    <w:p w14:paraId="781960CE" w14:textId="77777777" w:rsidR="005E0416" w:rsidRPr="005E0416" w:rsidRDefault="005E0416" w:rsidP="00756AB4">
      <w:r w:rsidRPr="005E0416">
        <w:rPr>
          <w:lang w:eastAsia="zh-CN"/>
        </w:rPr>
        <w:t xml:space="preserve">However, new frequency bands are considered on regional level for the further development of ITS as well as more and more future applications are being developed. The work in ITU-R needs to continue to evolve alongside these developments.  </w:t>
      </w:r>
    </w:p>
    <w:p w14:paraId="00A3A99D" w14:textId="77777777" w:rsidR="005E0416" w:rsidRPr="005E0416" w:rsidRDefault="005E0416" w:rsidP="00756AB4">
      <w:pPr>
        <w:pStyle w:val="Headingb"/>
      </w:pPr>
      <w:r w:rsidRPr="005E0416">
        <w:t>Background</w:t>
      </w:r>
    </w:p>
    <w:p w14:paraId="21AE995E" w14:textId="77777777" w:rsidR="005E0416" w:rsidRPr="005E0416" w:rsidRDefault="005E0416" w:rsidP="00756AB4">
      <w:pPr>
        <w:rPr>
          <w:lang w:eastAsia="zh-CN"/>
        </w:rPr>
      </w:pPr>
      <w:r w:rsidRPr="005E0416">
        <w:rPr>
          <w:lang w:eastAsia="zh-CN"/>
        </w:rPr>
        <w:t xml:space="preserve">ITU-R, Working Party 5A, was tasked to develop the draft CPM text and other ITU-R deliverables related to WRC-19 agenda item 1.12. During the CPM19-2 it became clear that it is necessary to allow for </w:t>
      </w:r>
      <w:proofErr w:type="gramStart"/>
      <w:r w:rsidRPr="005E0416">
        <w:rPr>
          <w:lang w:eastAsia="zh-CN"/>
        </w:rPr>
        <w:t>ITS</w:t>
      </w:r>
      <w:proofErr w:type="gramEnd"/>
      <w:r w:rsidRPr="005E0416">
        <w:rPr>
          <w:lang w:eastAsia="zh-CN"/>
        </w:rPr>
        <w:t xml:space="preserve"> to evolve and find solutions that are flexible. In that regard studies will continue with further evolution of </w:t>
      </w:r>
      <w:proofErr w:type="gramStart"/>
      <w:r w:rsidRPr="005E0416">
        <w:rPr>
          <w:lang w:eastAsia="zh-CN"/>
        </w:rPr>
        <w:t>ITS</w:t>
      </w:r>
      <w:proofErr w:type="gramEnd"/>
      <w:r w:rsidRPr="005E0416">
        <w:rPr>
          <w:lang w:eastAsia="zh-CN"/>
        </w:rPr>
        <w:t xml:space="preserve"> and new frequency bands being considered. ITU-R deliverables need to continue to evolve while providing practical guidance to ITU administrations and regulatory certainty to vendors and operators.</w:t>
      </w:r>
    </w:p>
    <w:p w14:paraId="423E80DE" w14:textId="77777777" w:rsidR="005E0416" w:rsidRPr="005E0416" w:rsidRDefault="005E0416" w:rsidP="00756AB4">
      <w:pPr>
        <w:pStyle w:val="Headingb"/>
      </w:pPr>
      <w:r w:rsidRPr="005E0416">
        <w:t>Proposal</w:t>
      </w:r>
    </w:p>
    <w:p w14:paraId="72E2A232" w14:textId="77777777" w:rsidR="005E0416" w:rsidRPr="005E0416" w:rsidRDefault="005E0416" w:rsidP="00756AB4">
      <w:pPr>
        <w:rPr>
          <w:lang w:eastAsia="zh-CN"/>
        </w:rPr>
      </w:pPr>
      <w:r w:rsidRPr="005E0416">
        <w:rPr>
          <w:lang w:eastAsia="zh-CN"/>
        </w:rPr>
        <w:t>CEPT proposes the consideration of a new ITU-R Resolution as outlined below.</w:t>
      </w:r>
    </w:p>
    <w:p w14:paraId="7B753CB7" w14:textId="77777777" w:rsidR="005E0416" w:rsidRPr="005E0416" w:rsidRDefault="005E0416" w:rsidP="005E0416">
      <w:r w:rsidRPr="005E0416">
        <w:br w:type="page"/>
      </w:r>
    </w:p>
    <w:bookmarkEnd w:id="11"/>
    <w:p w14:paraId="5BA72FB1" w14:textId="77777777" w:rsidR="005E0416" w:rsidRPr="005E0416" w:rsidRDefault="005E0416" w:rsidP="005E0416">
      <w:pPr>
        <w:pStyle w:val="Proposal"/>
      </w:pPr>
      <w:r w:rsidRPr="005E0416">
        <w:rPr>
          <w:b/>
          <w:bCs/>
        </w:rPr>
        <w:lastRenderedPageBreak/>
        <w:t>ADD</w:t>
      </w:r>
      <w:r w:rsidRPr="005E0416">
        <w:tab/>
        <w:t>EUR/XX/1</w:t>
      </w:r>
    </w:p>
    <w:p w14:paraId="37DD72D7" w14:textId="77777777" w:rsidR="005E0416" w:rsidRPr="005E0416" w:rsidRDefault="005E0416" w:rsidP="00756AB4">
      <w:pPr>
        <w:pStyle w:val="ResNo"/>
      </w:pPr>
      <w:r w:rsidRPr="005E0416">
        <w:t>Draft NEw RESOLUTION ITU-R [ITS]</w:t>
      </w:r>
    </w:p>
    <w:p w14:paraId="458B7E44" w14:textId="77777777" w:rsidR="005E0416" w:rsidRPr="005E0416" w:rsidRDefault="005E0416" w:rsidP="00756AB4">
      <w:pPr>
        <w:pStyle w:val="Restitle"/>
      </w:pPr>
      <w:r w:rsidRPr="005E0416">
        <w:t>Studies related to the further development of Intelligent Transport Systems</w:t>
      </w:r>
    </w:p>
    <w:p w14:paraId="1377E094" w14:textId="77777777" w:rsidR="005E0416" w:rsidRPr="005E0416" w:rsidRDefault="005E0416" w:rsidP="00E60E2A">
      <w:pPr>
        <w:pStyle w:val="Resdate"/>
      </w:pPr>
      <w:r w:rsidRPr="005E0416">
        <w:t>(2019)</w:t>
      </w:r>
    </w:p>
    <w:p w14:paraId="78EF5A7D" w14:textId="77777777" w:rsidR="005E0416" w:rsidRPr="005E0416" w:rsidRDefault="005E0416" w:rsidP="00756AB4">
      <w:pPr>
        <w:pStyle w:val="Normalaftertitle"/>
      </w:pPr>
      <w:r w:rsidRPr="005E0416">
        <w:t>The ITU Radiocommunication Assembly,</w:t>
      </w:r>
    </w:p>
    <w:p w14:paraId="116F6D9E" w14:textId="77777777" w:rsidR="005E0416" w:rsidRPr="005E0416" w:rsidRDefault="005E0416" w:rsidP="005E0416">
      <w:pPr>
        <w:pStyle w:val="Call"/>
      </w:pPr>
      <w:proofErr w:type="gramStart"/>
      <w:r w:rsidRPr="005E0416">
        <w:t>considering</w:t>
      </w:r>
      <w:proofErr w:type="gramEnd"/>
    </w:p>
    <w:p w14:paraId="7ACCF1C7" w14:textId="77777777" w:rsidR="005E0416" w:rsidRPr="005E0416" w:rsidRDefault="005E0416" w:rsidP="00756AB4">
      <w:pPr>
        <w:spacing w:after="120"/>
      </w:pPr>
      <w:r w:rsidRPr="005E0416">
        <w:rPr>
          <w:i/>
          <w:iCs/>
        </w:rPr>
        <w:t>a)</w:t>
      </w:r>
      <w:r w:rsidRPr="005E0416">
        <w:tab/>
      </w:r>
      <w:proofErr w:type="gramStart"/>
      <w:r w:rsidRPr="005E0416">
        <w:t>that</w:t>
      </w:r>
      <w:proofErr w:type="gramEnd"/>
      <w:r w:rsidRPr="005E0416">
        <w:t xml:space="preserve"> the ITU Radiocommunication Assembly has approved Question ITU</w:t>
      </w:r>
      <w:r w:rsidRPr="005E0416">
        <w:noBreakHyphen/>
        <w:t xml:space="preserve">R 205-5/5 </w:t>
      </w:r>
      <w:r>
        <w:t>“Intelligent transport systems”;</w:t>
      </w:r>
    </w:p>
    <w:p w14:paraId="23646604" w14:textId="77777777" w:rsidR="005E0416" w:rsidRPr="005E0416" w:rsidRDefault="005E0416" w:rsidP="00756AB4">
      <w:pPr>
        <w:spacing w:after="120"/>
      </w:pPr>
      <w:r w:rsidRPr="005E0416">
        <w:t>…</w:t>
      </w:r>
    </w:p>
    <w:p w14:paraId="5DAA71B5" w14:textId="77777777" w:rsidR="005E0416" w:rsidRPr="005E0416" w:rsidRDefault="005E0416" w:rsidP="00756AB4">
      <w:pPr>
        <w:pStyle w:val="Call"/>
      </w:pPr>
      <w:proofErr w:type="gramStart"/>
      <w:r w:rsidRPr="005E0416">
        <w:t>recognizing</w:t>
      </w:r>
      <w:proofErr w:type="gramEnd"/>
    </w:p>
    <w:p w14:paraId="6ED906D1" w14:textId="77777777" w:rsidR="005E0416" w:rsidRPr="005E0416" w:rsidRDefault="00E60E2A" w:rsidP="00E60E2A">
      <w:r w:rsidRPr="00E60E2A">
        <w:rPr>
          <w:i/>
          <w:iCs/>
        </w:rPr>
        <w:t>a)</w:t>
      </w:r>
      <w:r>
        <w:tab/>
      </w:r>
      <w:proofErr w:type="gramStart"/>
      <w:r w:rsidR="005E0416" w:rsidRPr="005E0416">
        <w:t>that</w:t>
      </w:r>
      <w:proofErr w:type="gramEnd"/>
      <w:r w:rsidR="005E0416" w:rsidRPr="005E0416">
        <w:t xml:space="preserve"> Recommendation ITU-R M.2121 describes harmonized frequency bands for Intelligent Transport Systems in the mobile service;</w:t>
      </w:r>
    </w:p>
    <w:p w14:paraId="16E76681" w14:textId="77777777" w:rsidR="005E0416" w:rsidRPr="005E0416" w:rsidRDefault="00E60E2A" w:rsidP="00E60E2A">
      <w:pPr>
        <w:rPr>
          <w:lang w:eastAsia="zh-CN"/>
        </w:rPr>
      </w:pPr>
      <w:r w:rsidRPr="00E60E2A">
        <w:rPr>
          <w:i/>
          <w:iCs/>
        </w:rPr>
        <w:t>b)</w:t>
      </w:r>
      <w:r>
        <w:tab/>
      </w:r>
      <w:proofErr w:type="gramStart"/>
      <w:r w:rsidR="005E0416" w:rsidRPr="005E0416">
        <w:t>that</w:t>
      </w:r>
      <w:proofErr w:type="gramEnd"/>
      <w:r w:rsidR="005E0416" w:rsidRPr="005E0416">
        <w:rPr>
          <w:color w:val="000000" w:themeColor="text1"/>
        </w:rPr>
        <w:t xml:space="preserve"> </w:t>
      </w:r>
      <w:r w:rsidR="005E0416" w:rsidRPr="005E0416">
        <w:t>Report ITU-R M.2444 provides examples of frequency arrangements for intelligent transport systems (ITS) deployments in certain regions and countries;</w:t>
      </w:r>
    </w:p>
    <w:p w14:paraId="46542FF7" w14:textId="77777777" w:rsidR="005E0416" w:rsidRPr="005E0416" w:rsidRDefault="00E60E2A" w:rsidP="00E60E2A">
      <w:r w:rsidRPr="00E60E2A">
        <w:rPr>
          <w:i/>
          <w:iCs/>
          <w:lang w:eastAsia="zh-CN"/>
        </w:rPr>
        <w:t>c)</w:t>
      </w:r>
      <w:r>
        <w:rPr>
          <w:lang w:eastAsia="zh-CN"/>
        </w:rPr>
        <w:tab/>
      </w:r>
      <w:proofErr w:type="gramStart"/>
      <w:r w:rsidR="005E0416" w:rsidRPr="005E0416">
        <w:rPr>
          <w:lang w:eastAsia="zh-CN"/>
        </w:rPr>
        <w:t>that</w:t>
      </w:r>
      <w:proofErr w:type="gramEnd"/>
      <w:r w:rsidR="005E0416" w:rsidRPr="005E0416">
        <w:rPr>
          <w:lang w:eastAsia="zh-CN"/>
        </w:rPr>
        <w:t xml:space="preserve"> Report ITU</w:t>
      </w:r>
      <w:r>
        <w:rPr>
          <w:lang w:eastAsia="zh-CN"/>
        </w:rPr>
        <w:t>-</w:t>
      </w:r>
      <w:r w:rsidR="005E0416" w:rsidRPr="005E0416">
        <w:rPr>
          <w:lang w:eastAsia="zh-CN"/>
        </w:rPr>
        <w:t>R M.2445 describes ITS usage in ITU Member States</w:t>
      </w:r>
      <w:r>
        <w:rPr>
          <w:lang w:eastAsia="zh-CN"/>
        </w:rPr>
        <w:t>,</w:t>
      </w:r>
    </w:p>
    <w:p w14:paraId="26C0ED0D" w14:textId="77777777" w:rsidR="005E0416" w:rsidRPr="00E60E2A" w:rsidRDefault="005E0416" w:rsidP="00E60E2A">
      <w:pPr>
        <w:pStyle w:val="Call"/>
      </w:pPr>
      <w:proofErr w:type="gramStart"/>
      <w:r w:rsidRPr="005E0416">
        <w:t>resolves</w:t>
      </w:r>
      <w:proofErr w:type="gramEnd"/>
    </w:p>
    <w:p w14:paraId="5252C8CA" w14:textId="77777777" w:rsidR="005E0416" w:rsidRPr="005E0416" w:rsidRDefault="005E0416" w:rsidP="00756AB4">
      <w:pPr>
        <w:keepNext/>
        <w:spacing w:after="120"/>
      </w:pPr>
      <w:r w:rsidRPr="005E0416">
        <w:rPr>
          <w:bCs/>
          <w:lang w:eastAsia="nl-NL"/>
        </w:rPr>
        <w:t>1</w:t>
      </w:r>
      <w:r w:rsidRPr="005E0416">
        <w:rPr>
          <w:lang w:eastAsia="nl-NL"/>
        </w:rPr>
        <w:tab/>
        <w:t xml:space="preserve">to </w:t>
      </w:r>
      <w:r w:rsidRPr="005E0416">
        <w:t>continue studies regarding possible solutions</w:t>
      </w:r>
      <w:r w:rsidRPr="005E0416">
        <w:rPr>
          <w:lang w:eastAsia="ja-JP"/>
        </w:rPr>
        <w:t xml:space="preserve"> for global/regional harmonization of </w:t>
      </w:r>
      <w:r w:rsidRPr="005E0416">
        <w:t xml:space="preserve">frequency bands for </w:t>
      </w:r>
      <w:proofErr w:type="gramStart"/>
      <w:r w:rsidRPr="005E0416">
        <w:t>ITS</w:t>
      </w:r>
      <w:proofErr w:type="gramEnd"/>
      <w:r w:rsidRPr="005E0416">
        <w:t xml:space="preserve"> focused on bands already allocated to the Mobile Service</w:t>
      </w:r>
      <w:r w:rsidRPr="005E0416">
        <w:rPr>
          <w:lang w:eastAsia="ja-JP"/>
        </w:rPr>
        <w:t>, taking into account:</w:t>
      </w:r>
    </w:p>
    <w:p w14:paraId="4CEDC8A5" w14:textId="77777777" w:rsidR="005E0416" w:rsidRPr="00E60E2A" w:rsidRDefault="005E0416" w:rsidP="00E60E2A">
      <w:pPr>
        <w:pStyle w:val="enumlev1"/>
      </w:pPr>
      <w:r w:rsidRPr="00E60E2A">
        <w:t>–</w:t>
      </w:r>
      <w:r w:rsidRPr="00E60E2A">
        <w:tab/>
      </w:r>
      <w:proofErr w:type="gramStart"/>
      <w:r w:rsidRPr="00E60E2A">
        <w:t>current</w:t>
      </w:r>
      <w:proofErr w:type="gramEnd"/>
      <w:r w:rsidRPr="00E60E2A">
        <w:t xml:space="preserve"> and future technologies to maximize efficient and flexible use of spectrum;</w:t>
      </w:r>
    </w:p>
    <w:p w14:paraId="593744EC" w14:textId="77777777" w:rsidR="005E0416" w:rsidRPr="00E60E2A" w:rsidRDefault="005E0416" w:rsidP="00E60E2A">
      <w:pPr>
        <w:pStyle w:val="enumlev1"/>
      </w:pPr>
      <w:r w:rsidRPr="00E60E2A">
        <w:t>–</w:t>
      </w:r>
      <w:r w:rsidRPr="00E60E2A">
        <w:tab/>
      </w:r>
      <w:proofErr w:type="gramStart"/>
      <w:r w:rsidRPr="00E60E2A">
        <w:t>system</w:t>
      </w:r>
      <w:proofErr w:type="gramEnd"/>
      <w:r w:rsidRPr="00E60E2A">
        <w:t xml:space="preserve"> characteristics and operational practices which facilitate the implementation;</w:t>
      </w:r>
    </w:p>
    <w:p w14:paraId="385BE98D" w14:textId="77777777" w:rsidR="005E0416" w:rsidRPr="00E60E2A" w:rsidRDefault="005E0416" w:rsidP="00E60E2A">
      <w:pPr>
        <w:pStyle w:val="enumlev1"/>
      </w:pPr>
      <w:r w:rsidRPr="00E60E2A">
        <w:t>–</w:t>
      </w:r>
      <w:r w:rsidRPr="00E60E2A">
        <w:tab/>
      </w:r>
      <w:proofErr w:type="gramStart"/>
      <w:r w:rsidRPr="00E60E2A">
        <w:t>the</w:t>
      </w:r>
      <w:proofErr w:type="gramEnd"/>
      <w:r w:rsidRPr="00E60E2A">
        <w:t xml:space="preserve"> feasibility of deploying certain ITS applications in specific frequency bands;</w:t>
      </w:r>
    </w:p>
    <w:p w14:paraId="391B9B91" w14:textId="77777777" w:rsidR="005E0416" w:rsidRPr="00E60E2A" w:rsidRDefault="005E0416" w:rsidP="00E60E2A">
      <w:pPr>
        <w:pStyle w:val="enumlev1"/>
      </w:pPr>
      <w:r w:rsidRPr="00E60E2A">
        <w:t>–</w:t>
      </w:r>
      <w:r w:rsidRPr="00E60E2A">
        <w:tab/>
        <w:t>already existing results of studies in ITU</w:t>
      </w:r>
      <w:r w:rsidRPr="00E60E2A">
        <w:noBreakHyphen/>
        <w:t>R Recommendations and/or ITU</w:t>
      </w:r>
      <w:r w:rsidRPr="00E60E2A">
        <w:noBreakHyphen/>
        <w:t xml:space="preserve">R Reports (e.g. </w:t>
      </w:r>
      <w:r w:rsidRPr="00E60E2A">
        <w:rPr>
          <w:i/>
          <w:iCs/>
        </w:rPr>
        <w:t>recognizing</w:t>
      </w:r>
      <w:r w:rsidRPr="00E60E2A">
        <w:t xml:space="preserve"> </w:t>
      </w:r>
      <w:r w:rsidRPr="00E60E2A">
        <w:rPr>
          <w:i/>
          <w:iCs/>
        </w:rPr>
        <w:t>a</w:t>
      </w:r>
      <w:r w:rsidR="00E60E2A">
        <w:rPr>
          <w:i/>
          <w:iCs/>
        </w:rPr>
        <w:t>)</w:t>
      </w:r>
      <w:r w:rsidRPr="00E60E2A">
        <w:t xml:space="preserve">, </w:t>
      </w:r>
      <w:r w:rsidRPr="00E60E2A">
        <w:rPr>
          <w:i/>
          <w:iCs/>
        </w:rPr>
        <w:t>b</w:t>
      </w:r>
      <w:r w:rsidR="00E60E2A">
        <w:rPr>
          <w:i/>
          <w:iCs/>
        </w:rPr>
        <w:t>)</w:t>
      </w:r>
      <w:r w:rsidRPr="00E60E2A">
        <w:t xml:space="preserve"> and </w:t>
      </w:r>
      <w:r w:rsidRPr="00E60E2A">
        <w:rPr>
          <w:i/>
          <w:iCs/>
        </w:rPr>
        <w:t>c</w:t>
      </w:r>
      <w:r w:rsidR="00E60E2A">
        <w:rPr>
          <w:i/>
          <w:iCs/>
        </w:rPr>
        <w:t>)</w:t>
      </w:r>
      <w:r w:rsidRPr="00E60E2A">
        <w:t>), as appropriate;</w:t>
      </w:r>
    </w:p>
    <w:p w14:paraId="732BDF3E" w14:textId="77777777" w:rsidR="005E0416" w:rsidRPr="005E0416" w:rsidRDefault="005E0416" w:rsidP="00756AB4">
      <w:pPr>
        <w:spacing w:after="120"/>
      </w:pPr>
      <w:r w:rsidRPr="005E0416">
        <w:t>2</w:t>
      </w:r>
      <w:r w:rsidRPr="005E0416">
        <w:tab/>
        <w:t>to revise existing and/or develop new ITU</w:t>
      </w:r>
      <w:r w:rsidRPr="005E0416">
        <w:noBreakHyphen/>
        <w:t>R Recommendations and/or ITU</w:t>
      </w:r>
      <w:r w:rsidRPr="005E0416">
        <w:noBreakHyphen/>
        <w:t>R Reports based on the aforementioned studies, as appropriate,</w:t>
      </w:r>
    </w:p>
    <w:p w14:paraId="752037FE" w14:textId="77777777" w:rsidR="005E0416" w:rsidRPr="00E60E2A" w:rsidRDefault="005E0416" w:rsidP="00E60E2A">
      <w:pPr>
        <w:pStyle w:val="Call"/>
      </w:pPr>
      <w:proofErr w:type="gramStart"/>
      <w:r w:rsidRPr="00E60E2A">
        <w:t>invites</w:t>
      </w:r>
      <w:proofErr w:type="gramEnd"/>
      <w:r w:rsidRPr="00E60E2A">
        <w:t xml:space="preserve"> Member States</w:t>
      </w:r>
    </w:p>
    <w:p w14:paraId="70110FD2" w14:textId="77777777" w:rsidR="005E0416" w:rsidRPr="005E0416" w:rsidRDefault="005E0416" w:rsidP="00E60E2A">
      <w:pPr>
        <w:rPr>
          <w:rFonts w:eastAsia="SimSun"/>
          <w:lang w:eastAsia="zh-CN"/>
        </w:rPr>
      </w:pPr>
      <w:proofErr w:type="gramStart"/>
      <w:r w:rsidRPr="005E0416">
        <w:rPr>
          <w:rFonts w:eastAsia="Malgun Gothic"/>
          <w:lang w:eastAsia="ko-KR"/>
        </w:rPr>
        <w:t>to</w:t>
      </w:r>
      <w:proofErr w:type="gramEnd"/>
      <w:r w:rsidRPr="005E0416">
        <w:rPr>
          <w:rFonts w:eastAsia="Malgun Gothic"/>
          <w:lang w:eastAsia="ko-KR"/>
        </w:rPr>
        <w:t xml:space="preserve"> consider the results of the studies with a view to take necessary actions in relation with their national regulations for ITS, as appropriate</w:t>
      </w:r>
      <w:r w:rsidR="00E60E2A">
        <w:rPr>
          <w:rFonts w:eastAsia="SimSun"/>
          <w:lang w:eastAsia="zh-CN"/>
        </w:rPr>
        <w:t>,</w:t>
      </w:r>
    </w:p>
    <w:p w14:paraId="5998D191" w14:textId="77777777" w:rsidR="005E0416" w:rsidRPr="00E60E2A" w:rsidRDefault="005E0416" w:rsidP="00E60E2A">
      <w:pPr>
        <w:pStyle w:val="Call"/>
      </w:pPr>
      <w:proofErr w:type="gramStart"/>
      <w:r w:rsidRPr="00E60E2A">
        <w:t>invites</w:t>
      </w:r>
      <w:proofErr w:type="gramEnd"/>
      <w:r w:rsidRPr="00E60E2A">
        <w:t xml:space="preserve"> Member States and Sector Members</w:t>
      </w:r>
    </w:p>
    <w:p w14:paraId="56AC7F44" w14:textId="77777777" w:rsidR="005E0416" w:rsidRPr="005E0416" w:rsidRDefault="005E0416" w:rsidP="00E60E2A">
      <w:proofErr w:type="gramStart"/>
      <w:r w:rsidRPr="005E0416">
        <w:t>to</w:t>
      </w:r>
      <w:proofErr w:type="gramEnd"/>
      <w:r w:rsidRPr="005E0416">
        <w:t xml:space="preserve"> actively participate in the studies by providing contributions to ITU</w:t>
      </w:r>
      <w:r w:rsidRPr="005E0416">
        <w:noBreakHyphen/>
        <w:t>R,</w:t>
      </w:r>
    </w:p>
    <w:p w14:paraId="329B3A82" w14:textId="77777777" w:rsidR="005E0416" w:rsidRPr="00E60E2A" w:rsidRDefault="005E0416" w:rsidP="00E60E2A">
      <w:pPr>
        <w:pStyle w:val="Call"/>
      </w:pPr>
      <w:proofErr w:type="gramStart"/>
      <w:r w:rsidRPr="00E60E2A">
        <w:t>invites</w:t>
      </w:r>
      <w:proofErr w:type="gramEnd"/>
      <w:r w:rsidRPr="00E60E2A">
        <w:t xml:space="preserve"> ITU</w:t>
      </w:r>
      <w:r w:rsidRPr="00E60E2A">
        <w:noBreakHyphen/>
        <w:t>R</w:t>
      </w:r>
    </w:p>
    <w:p w14:paraId="082048CC" w14:textId="77777777" w:rsidR="005E0416" w:rsidRDefault="005E0416" w:rsidP="00E60E2A">
      <w:proofErr w:type="gramStart"/>
      <w:r w:rsidRPr="005E0416">
        <w:t>to</w:t>
      </w:r>
      <w:proofErr w:type="gramEnd"/>
      <w:r w:rsidRPr="005E0416">
        <w:t xml:space="preserve"> promote and maintain an ongoing exchange of information on ITS between ITU</w:t>
      </w:r>
      <w:r w:rsidRPr="005E0416">
        <w:noBreakHyphen/>
        <w:t>R members and other organizations, as per Resolution ITU</w:t>
      </w:r>
      <w:r w:rsidRPr="005E0416">
        <w:noBreakHyphen/>
        <w:t>R 9.</w:t>
      </w:r>
    </w:p>
    <w:p w14:paraId="59957D18" w14:textId="77777777" w:rsidR="00E60E2A" w:rsidRDefault="00E60E2A" w:rsidP="0032202E">
      <w:pPr>
        <w:pStyle w:val="Reasons"/>
      </w:pPr>
    </w:p>
    <w:p w14:paraId="56ECEA64" w14:textId="77777777" w:rsidR="00E60E2A" w:rsidRPr="005E0416" w:rsidRDefault="00E60E2A" w:rsidP="00E60E2A">
      <w:pPr>
        <w:jc w:val="center"/>
      </w:pPr>
      <w:r>
        <w:t>______________</w:t>
      </w:r>
    </w:p>
    <w:sectPr w:rsidR="00E60E2A" w:rsidRPr="005E0416" w:rsidSect="009447A3">
      <w:headerReference w:type="default" r:id="rId9"/>
      <w:footerReference w:type="even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618F6" w14:textId="77777777" w:rsidR="00DB6BDB" w:rsidRDefault="00DB6BDB">
      <w:r>
        <w:separator/>
      </w:r>
    </w:p>
  </w:endnote>
  <w:endnote w:type="continuationSeparator" w:id="0">
    <w:p w14:paraId="7429DCF7" w14:textId="77777777" w:rsidR="00DB6BDB" w:rsidRDefault="00DB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A0F9C" w14:textId="0DAC3E95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5E0416">
      <w:rPr>
        <w:noProof/>
        <w:lang w:val="es-ES_tradnl"/>
      </w:rPr>
      <w:t>Document8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5B18">
      <w:rPr>
        <w:noProof/>
      </w:rPr>
      <w:t>29.08.19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E0416">
      <w:rPr>
        <w:noProof/>
      </w:rPr>
      <w:t>25.04.03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0908C" w14:textId="0139E10A" w:rsidR="009447A3" w:rsidRPr="00A35F66" w:rsidRDefault="009447A3" w:rsidP="00A35F66">
    <w:pPr>
      <w:pStyle w:val="Footer"/>
      <w:rPr>
        <w:lang w:val="en-US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5E0416">
      <w:rPr>
        <w:lang w:val="es-ES_tradnl"/>
      </w:rPr>
      <w:t>Document8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5B18">
      <w:t>29.08.19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E0416">
      <w:t>25.04.03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56BD4" w14:textId="77777777" w:rsidR="00DB6BDB" w:rsidRDefault="00DB6BDB">
      <w:r>
        <w:rPr>
          <w:b/>
        </w:rPr>
        <w:t>_______________</w:t>
      </w:r>
    </w:p>
  </w:footnote>
  <w:footnote w:type="continuationSeparator" w:id="0">
    <w:p w14:paraId="7B4FCB1F" w14:textId="77777777" w:rsidR="00DB6BDB" w:rsidRDefault="00DB6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AFD95" w14:textId="77777777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65B1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230A0161"/>
    <w:multiLevelType w:val="hybridMultilevel"/>
    <w:tmpl w:val="346EDA6A"/>
    <w:lvl w:ilvl="0" w:tplc="0F9C2D5A">
      <w:start w:val="1"/>
      <w:numFmt w:val="lowerLetter"/>
      <w:lvlText w:val="%1)"/>
      <w:lvlJc w:val="left"/>
      <w:pPr>
        <w:ind w:left="1500" w:hanging="11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16"/>
    <w:rsid w:val="00011970"/>
    <w:rsid w:val="000D1293"/>
    <w:rsid w:val="00192E45"/>
    <w:rsid w:val="001B225D"/>
    <w:rsid w:val="00206408"/>
    <w:rsid w:val="0030579C"/>
    <w:rsid w:val="00425F3D"/>
    <w:rsid w:val="00471425"/>
    <w:rsid w:val="004844C1"/>
    <w:rsid w:val="004D6FFE"/>
    <w:rsid w:val="005E0416"/>
    <w:rsid w:val="005E0BE1"/>
    <w:rsid w:val="005F1974"/>
    <w:rsid w:val="00616BF3"/>
    <w:rsid w:val="00625533"/>
    <w:rsid w:val="0071246B"/>
    <w:rsid w:val="00756B1C"/>
    <w:rsid w:val="007650DE"/>
    <w:rsid w:val="007C6911"/>
    <w:rsid w:val="008145E1"/>
    <w:rsid w:val="00880578"/>
    <w:rsid w:val="008A7B8E"/>
    <w:rsid w:val="009447A3"/>
    <w:rsid w:val="00993768"/>
    <w:rsid w:val="009E375D"/>
    <w:rsid w:val="00A05CE9"/>
    <w:rsid w:val="00A35F66"/>
    <w:rsid w:val="00AE3F03"/>
    <w:rsid w:val="00BB03AF"/>
    <w:rsid w:val="00BE5003"/>
    <w:rsid w:val="00BF5E61"/>
    <w:rsid w:val="00C46060"/>
    <w:rsid w:val="00CB1338"/>
    <w:rsid w:val="00D262CE"/>
    <w:rsid w:val="00D471A9"/>
    <w:rsid w:val="00D50D44"/>
    <w:rsid w:val="00DA716F"/>
    <w:rsid w:val="00DB6BDB"/>
    <w:rsid w:val="00E123D4"/>
    <w:rsid w:val="00E424C3"/>
    <w:rsid w:val="00E60E2A"/>
    <w:rsid w:val="00EE1A06"/>
    <w:rsid w:val="00EE4AD6"/>
    <w:rsid w:val="00F329B0"/>
    <w:rsid w:val="00F65B18"/>
    <w:rsid w:val="00F94CB9"/>
    <w:rsid w:val="00FD4869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19C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link w:val="AnnexNoChar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CallChar">
    <w:name w:val="Call Char"/>
    <w:basedOn w:val="DefaultParagraphFont"/>
    <w:link w:val="Call"/>
    <w:locked/>
    <w:rsid w:val="005E0416"/>
    <w:rPr>
      <w:rFonts w:ascii="Times New Roman" w:hAnsi="Times New Roman"/>
      <w:i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5E0416"/>
    <w:rPr>
      <w:rFonts w:ascii="Times New Roman" w:hAnsi="Times New Roman"/>
      <w:sz w:val="24"/>
      <w:lang w:val="en-GB" w:eastAsia="en-US"/>
    </w:rPr>
  </w:style>
  <w:style w:type="character" w:customStyle="1" w:styleId="AnnexNoChar">
    <w:name w:val="Annex_No Char"/>
    <w:link w:val="AnnexNo"/>
    <w:locked/>
    <w:rsid w:val="005E0416"/>
    <w:rPr>
      <w:rFonts w:ascii="Times New Roman" w:hAnsi="Times New Roman"/>
      <w:caps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5E0416"/>
    <w:pPr>
      <w:ind w:leftChars="400" w:left="840"/>
    </w:pPr>
    <w:rPr>
      <w:rFonts w:eastAsia="MS Mincho"/>
    </w:rPr>
  </w:style>
  <w:style w:type="paragraph" w:styleId="BalloonText">
    <w:name w:val="Balloon Text"/>
    <w:basedOn w:val="Normal"/>
    <w:link w:val="BalloonTextChar"/>
    <w:semiHidden/>
    <w:unhideWhenUsed/>
    <w:rsid w:val="00F65B1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65B18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link w:val="AnnexNoChar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CallChar">
    <w:name w:val="Call Char"/>
    <w:basedOn w:val="DefaultParagraphFont"/>
    <w:link w:val="Call"/>
    <w:locked/>
    <w:rsid w:val="005E0416"/>
    <w:rPr>
      <w:rFonts w:ascii="Times New Roman" w:hAnsi="Times New Roman"/>
      <w:i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5E0416"/>
    <w:rPr>
      <w:rFonts w:ascii="Times New Roman" w:hAnsi="Times New Roman"/>
      <w:sz w:val="24"/>
      <w:lang w:val="en-GB" w:eastAsia="en-US"/>
    </w:rPr>
  </w:style>
  <w:style w:type="character" w:customStyle="1" w:styleId="AnnexNoChar">
    <w:name w:val="Annex_No Char"/>
    <w:link w:val="AnnexNo"/>
    <w:locked/>
    <w:rsid w:val="005E0416"/>
    <w:rPr>
      <w:rFonts w:ascii="Times New Roman" w:hAnsi="Times New Roman"/>
      <w:caps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5E0416"/>
    <w:pPr>
      <w:ind w:leftChars="400" w:left="840"/>
    </w:pPr>
    <w:rPr>
      <w:rFonts w:eastAsia="MS Mincho"/>
    </w:rPr>
  </w:style>
  <w:style w:type="paragraph" w:styleId="BalloonText">
    <w:name w:val="Balloon Text"/>
    <w:basedOn w:val="Normal"/>
    <w:link w:val="BalloonTextChar"/>
    <w:semiHidden/>
    <w:unhideWhenUsed/>
    <w:rsid w:val="00F65B1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65B1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3634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- ITU -</dc:creator>
  <dc:description>PE_RA12.dotm  For: _x000d_Document date: _x000d_Saved by MM-106465 at 11:44:53 on 04/04/11</dc:description>
  <cp:lastModifiedBy>CEPT</cp:lastModifiedBy>
  <cp:revision>2</cp:revision>
  <cp:lastPrinted>2003-04-25T07:33:00Z</cp:lastPrinted>
  <dcterms:created xsi:type="dcterms:W3CDTF">2019-08-29T13:10:00Z</dcterms:created>
  <dcterms:modified xsi:type="dcterms:W3CDTF">2019-08-29T13:10:00Z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