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05498" w14:textId="77777777" w:rsidR="00A65998" w:rsidRPr="006419B6" w:rsidRDefault="00A65998" w:rsidP="00A65998">
      <w:pPr>
        <w:suppressAutoHyphens/>
        <w:spacing w:after="160" w:line="259" w:lineRule="auto"/>
        <w:rPr>
          <w:rFonts w:eastAsia="Calibri"/>
          <w:lang w:eastAsia="en-US"/>
        </w:rPr>
      </w:pPr>
      <w:r w:rsidRPr="006419B6">
        <w:rPr>
          <w:rFonts w:eastAsia="Calibri"/>
          <w:noProof/>
        </w:rPr>
        <w:t>HRVATSKA REGULATORNA AGENCIJA ZA MREŽNE DJELATNOSTI - HAKOM</w:t>
      </w:r>
    </w:p>
    <w:p w14:paraId="32304C19" w14:textId="7FC847BE" w:rsidR="00A65998" w:rsidRDefault="00A65998" w:rsidP="00A65998">
      <w:pPr>
        <w:suppressAutoHyphens/>
        <w:spacing w:after="160" w:line="259" w:lineRule="auto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RKP: 45902</w:t>
      </w:r>
      <w:r>
        <w:rPr>
          <w:rFonts w:eastAsia="Calibri"/>
          <w:lang w:eastAsia="en-US"/>
        </w:rPr>
        <w:t xml:space="preserve">, </w:t>
      </w:r>
      <w:r w:rsidRPr="006419B6">
        <w:rPr>
          <w:rFonts w:eastAsia="Calibri"/>
          <w:lang w:eastAsia="en-US"/>
        </w:rPr>
        <w:t>OIB: 87950783661</w:t>
      </w:r>
    </w:p>
    <w:p w14:paraId="3C1EDDC1" w14:textId="77777777" w:rsidR="00267CF5" w:rsidRPr="006419B6" w:rsidRDefault="00267CF5" w:rsidP="00A65998">
      <w:pPr>
        <w:suppressAutoHyphens/>
        <w:spacing w:after="160" w:line="259" w:lineRule="auto"/>
        <w:rPr>
          <w:rFonts w:eastAsia="Calibri"/>
          <w:lang w:eastAsia="en-US"/>
        </w:rPr>
      </w:pPr>
    </w:p>
    <w:p w14:paraId="01E41F32" w14:textId="77777777" w:rsidR="00A65998" w:rsidRPr="006419B6" w:rsidRDefault="00A65998" w:rsidP="00A65998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6419B6">
        <w:rPr>
          <w:rFonts w:eastAsia="Calibri"/>
          <w:b/>
          <w:lang w:eastAsia="en-US"/>
        </w:rPr>
        <w:t xml:space="preserve">BILJEŠKE UZ FINANCIJSKE IZVJEŠTAJE </w:t>
      </w:r>
    </w:p>
    <w:p w14:paraId="278D78EA" w14:textId="77777777" w:rsidR="00A65998" w:rsidRPr="006419B6" w:rsidRDefault="00A65998" w:rsidP="00A65998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6419B6">
        <w:rPr>
          <w:rFonts w:eastAsia="Calibri"/>
          <w:b/>
          <w:lang w:eastAsia="en-US"/>
        </w:rPr>
        <w:t xml:space="preserve">HRVATSKE REGULATORNE AGENCIJE ZA MREŽNE DJELATNOSTI </w:t>
      </w:r>
    </w:p>
    <w:p w14:paraId="1B0BE06A" w14:textId="1177CDCD" w:rsidR="00A65998" w:rsidRPr="006419B6" w:rsidRDefault="00A65998" w:rsidP="00267CF5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6419B6">
        <w:rPr>
          <w:rFonts w:eastAsia="Calibri"/>
          <w:b/>
          <w:lang w:eastAsia="en-US"/>
        </w:rPr>
        <w:t>ZA RAZDOBLJE OD 1. SIJEČNJA DO 3</w:t>
      </w:r>
      <w:r w:rsidR="0081419C">
        <w:rPr>
          <w:rFonts w:eastAsia="Calibri"/>
          <w:b/>
          <w:lang w:eastAsia="en-US"/>
        </w:rPr>
        <w:t>1. PROSINCA</w:t>
      </w:r>
      <w:r w:rsidRPr="006419B6">
        <w:rPr>
          <w:rFonts w:eastAsia="Calibri"/>
          <w:b/>
          <w:lang w:eastAsia="en-US"/>
        </w:rPr>
        <w:t xml:space="preserve"> 2020.</w:t>
      </w:r>
    </w:p>
    <w:p w14:paraId="31ACF6BC" w14:textId="62FB19F7" w:rsidR="00A65998" w:rsidRDefault="00A65998" w:rsidP="00A65998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Financijski izvještaji Hrvatske regulatorne agencije za mrežne djelatnosti (dalje: HAKOM) za razdoblje od 1. siječnja do 3</w:t>
      </w:r>
      <w:r w:rsidR="0081419C">
        <w:rPr>
          <w:rFonts w:eastAsia="Calibri"/>
          <w:lang w:eastAsia="en-US"/>
        </w:rPr>
        <w:t>1</w:t>
      </w:r>
      <w:r w:rsidRPr="006419B6">
        <w:rPr>
          <w:rFonts w:eastAsia="Calibri"/>
          <w:lang w:eastAsia="en-US"/>
        </w:rPr>
        <w:t xml:space="preserve">. </w:t>
      </w:r>
      <w:r w:rsidR="0081419C">
        <w:rPr>
          <w:rFonts w:eastAsia="Calibri"/>
          <w:lang w:eastAsia="en-US"/>
        </w:rPr>
        <w:t>prosinca</w:t>
      </w:r>
      <w:r w:rsidRPr="006419B6">
        <w:rPr>
          <w:rFonts w:eastAsia="Calibri"/>
          <w:lang w:eastAsia="en-US"/>
        </w:rPr>
        <w:t xml:space="preserve"> 2020. izrađeni su sukladno Zakonu o proračunu (NN br. 87/08, 136/12 i 15/15), Pravilniku o proračunskom računovodstvu i </w:t>
      </w:r>
      <w:r w:rsidR="00F07E14">
        <w:rPr>
          <w:rFonts w:eastAsia="Calibri"/>
          <w:lang w:eastAsia="en-US"/>
        </w:rPr>
        <w:t>R</w:t>
      </w:r>
      <w:r w:rsidRPr="006419B6">
        <w:rPr>
          <w:rFonts w:eastAsia="Calibri"/>
          <w:lang w:eastAsia="en-US"/>
        </w:rPr>
        <w:t>ačunskom planu (NN br</w:t>
      </w:r>
      <w:r w:rsidR="002A198F">
        <w:rPr>
          <w:rFonts w:eastAsia="Calibri"/>
          <w:lang w:eastAsia="en-US"/>
        </w:rPr>
        <w:t xml:space="preserve">. 124/14, 115/15, 87/16, 3/18, </w:t>
      </w:r>
      <w:r w:rsidRPr="006419B6">
        <w:rPr>
          <w:rFonts w:eastAsia="Calibri"/>
          <w:lang w:eastAsia="en-US"/>
        </w:rPr>
        <w:t>126/19</w:t>
      </w:r>
      <w:r w:rsidR="002A198F">
        <w:rPr>
          <w:rFonts w:eastAsia="Calibri"/>
          <w:lang w:eastAsia="en-US"/>
        </w:rPr>
        <w:t xml:space="preserve"> i 108/20</w:t>
      </w:r>
      <w:r w:rsidRPr="006419B6">
        <w:rPr>
          <w:rFonts w:eastAsia="Calibri"/>
          <w:lang w:eastAsia="en-US"/>
        </w:rPr>
        <w:t>), Pravilniku o financijskom izvještavanju u proračunskom računovodstvu (NN br. 3/15, 93/15, 135/15</w:t>
      </w:r>
      <w:r w:rsidR="007F4DA6">
        <w:rPr>
          <w:rFonts w:eastAsia="Calibri"/>
          <w:lang w:eastAsia="en-US"/>
        </w:rPr>
        <w:t xml:space="preserve">, 2/17, 28/17, 112/18, </w:t>
      </w:r>
      <w:r>
        <w:rPr>
          <w:rFonts w:eastAsia="Calibri"/>
          <w:lang w:eastAsia="en-US"/>
        </w:rPr>
        <w:t>126/19</w:t>
      </w:r>
      <w:r w:rsidR="007F4DA6">
        <w:rPr>
          <w:rFonts w:eastAsia="Calibri"/>
          <w:lang w:eastAsia="en-US"/>
        </w:rPr>
        <w:t xml:space="preserve"> i 145/20</w:t>
      </w:r>
      <w:r>
        <w:rPr>
          <w:rFonts w:eastAsia="Calibri"/>
          <w:lang w:eastAsia="en-US"/>
        </w:rPr>
        <w:t>)</w:t>
      </w:r>
      <w:r w:rsidR="00AD421E">
        <w:rPr>
          <w:rFonts w:eastAsia="Calibri"/>
          <w:lang w:eastAsia="en-US"/>
        </w:rPr>
        <w:t xml:space="preserve"> i</w:t>
      </w:r>
      <w:r w:rsidRPr="006419B6">
        <w:rPr>
          <w:rFonts w:eastAsia="Calibri"/>
          <w:lang w:eastAsia="en-US"/>
        </w:rPr>
        <w:t xml:space="preserve"> Okružnici Ministarstva financija o sastavljanju</w:t>
      </w:r>
      <w:r w:rsidR="006325C1">
        <w:rPr>
          <w:rFonts w:eastAsia="Calibri"/>
          <w:lang w:eastAsia="en-US"/>
        </w:rPr>
        <w:t>, konsolidaciji</w:t>
      </w:r>
      <w:r w:rsidRPr="006419B6">
        <w:rPr>
          <w:rFonts w:eastAsia="Calibri"/>
          <w:lang w:eastAsia="en-US"/>
        </w:rPr>
        <w:t xml:space="preserve"> i predaji financijskih izvještaja proračuna, proračunskih i izvanproračunskih korisnika državnog proračuna te proračunskih i izvanproračunskih korisnika proračuna jedinica lokalne i područne (regionalne) samouprave za razdoblje od 1. siječnja do 3</w:t>
      </w:r>
      <w:r w:rsidR="006325C1">
        <w:rPr>
          <w:rFonts w:eastAsia="Calibri"/>
          <w:lang w:eastAsia="en-US"/>
        </w:rPr>
        <w:t>1</w:t>
      </w:r>
      <w:r w:rsidRPr="006419B6">
        <w:rPr>
          <w:rFonts w:eastAsia="Calibri"/>
          <w:lang w:eastAsia="en-US"/>
        </w:rPr>
        <w:t xml:space="preserve">. </w:t>
      </w:r>
      <w:r w:rsidR="006325C1">
        <w:rPr>
          <w:rFonts w:eastAsia="Calibri"/>
          <w:lang w:eastAsia="en-US"/>
        </w:rPr>
        <w:t>prosinca</w:t>
      </w:r>
      <w:r w:rsidRPr="006419B6">
        <w:rPr>
          <w:rFonts w:eastAsia="Calibri"/>
          <w:lang w:eastAsia="en-US"/>
        </w:rPr>
        <w:t xml:space="preserve"> 2020., KLASA: 400-02/</w:t>
      </w:r>
      <w:r w:rsidR="006325C1">
        <w:rPr>
          <w:rFonts w:eastAsia="Calibri"/>
          <w:lang w:eastAsia="en-US"/>
        </w:rPr>
        <w:t>20-01/29, URBROJ: 513-05-03-20-12</w:t>
      </w:r>
      <w:r w:rsidRPr="006419B6">
        <w:rPr>
          <w:rFonts w:eastAsia="Calibri"/>
          <w:lang w:eastAsia="en-US"/>
        </w:rPr>
        <w:t xml:space="preserve"> od </w:t>
      </w:r>
      <w:r w:rsidR="006325C1">
        <w:rPr>
          <w:rFonts w:eastAsia="Calibri"/>
          <w:lang w:eastAsia="en-US"/>
        </w:rPr>
        <w:t>30</w:t>
      </w:r>
      <w:r w:rsidRPr="006419B6">
        <w:rPr>
          <w:rFonts w:eastAsia="Calibri"/>
          <w:lang w:eastAsia="en-US"/>
        </w:rPr>
        <w:t xml:space="preserve">. </w:t>
      </w:r>
      <w:r w:rsidR="006325C1">
        <w:rPr>
          <w:rFonts w:eastAsia="Calibri"/>
          <w:lang w:eastAsia="en-US"/>
        </w:rPr>
        <w:t>prosinca</w:t>
      </w:r>
      <w:r w:rsidRPr="006419B6">
        <w:rPr>
          <w:rFonts w:eastAsia="Calibri"/>
          <w:lang w:eastAsia="en-US"/>
        </w:rPr>
        <w:t xml:space="preserve"> 2020.</w:t>
      </w:r>
    </w:p>
    <w:p w14:paraId="538254ED" w14:textId="77777777" w:rsidR="00A65998" w:rsidRPr="006419B6" w:rsidRDefault="00A65998" w:rsidP="00A65998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4A00DEA4" w14:textId="77777777" w:rsidR="00A65998" w:rsidRPr="006419B6" w:rsidRDefault="00A65998" w:rsidP="00A65998">
      <w:pPr>
        <w:numPr>
          <w:ilvl w:val="0"/>
          <w:numId w:val="11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 w:rsidRPr="006419B6">
        <w:rPr>
          <w:rFonts w:eastAsia="Calibri"/>
          <w:b/>
          <w:lang w:eastAsia="en-US"/>
        </w:rPr>
        <w:t xml:space="preserve">BILJEŠKE UZ IZVJEŠTAJ O PRIHODIMA I RASHODIMA, PRIMICIMA I </w:t>
      </w:r>
    </w:p>
    <w:p w14:paraId="6549EF1F" w14:textId="2803E762" w:rsidR="00A65998" w:rsidRPr="00CB1C16" w:rsidRDefault="00A65998" w:rsidP="00CB1C16">
      <w:pPr>
        <w:suppressAutoHyphens/>
        <w:spacing w:after="160" w:line="259" w:lineRule="auto"/>
        <w:ind w:left="426"/>
        <w:contextualSpacing/>
        <w:rPr>
          <w:rFonts w:eastAsia="Calibri"/>
          <w:lang w:eastAsia="en-US"/>
        </w:rPr>
      </w:pPr>
      <w:r w:rsidRPr="006419B6">
        <w:rPr>
          <w:rFonts w:eastAsia="Calibri"/>
          <w:b/>
          <w:lang w:eastAsia="en-US"/>
        </w:rPr>
        <w:t>IZDACIMA (OBRAZAC PR-RAS</w:t>
      </w:r>
      <w:r w:rsidRPr="006419B6">
        <w:rPr>
          <w:rFonts w:eastAsia="Calibri"/>
          <w:lang w:eastAsia="en-US"/>
        </w:rPr>
        <w:t>)</w:t>
      </w:r>
    </w:p>
    <w:p w14:paraId="60675C5D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center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Bilješka 1.</w:t>
      </w:r>
    </w:p>
    <w:p w14:paraId="784F4F65" w14:textId="2C634560" w:rsidR="00A65998" w:rsidRPr="006419B6" w:rsidRDefault="00A65998" w:rsidP="00A65998">
      <w:pPr>
        <w:suppressAutoHyphens/>
        <w:spacing w:before="240" w:after="160" w:line="259" w:lineRule="auto"/>
        <w:contextualSpacing/>
        <w:jc w:val="both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Izvještaj o prihodima i rashodima, primicima i izdacima sastavljen je za razdoblje od 1. siječnja do 3</w:t>
      </w:r>
      <w:r w:rsidR="007E000F">
        <w:rPr>
          <w:rFonts w:eastAsia="Calibri"/>
          <w:lang w:eastAsia="en-US"/>
        </w:rPr>
        <w:t>1</w:t>
      </w:r>
      <w:r w:rsidRPr="006419B6">
        <w:rPr>
          <w:rFonts w:eastAsia="Calibri"/>
          <w:lang w:eastAsia="en-US"/>
        </w:rPr>
        <w:t xml:space="preserve">. </w:t>
      </w:r>
      <w:r w:rsidR="007E000F">
        <w:rPr>
          <w:rFonts w:eastAsia="Calibri"/>
          <w:lang w:eastAsia="en-US"/>
        </w:rPr>
        <w:t>prosinca</w:t>
      </w:r>
      <w:r w:rsidRPr="006419B6">
        <w:rPr>
          <w:rFonts w:eastAsia="Calibri"/>
          <w:lang w:eastAsia="en-US"/>
        </w:rPr>
        <w:t xml:space="preserve"> 2020. i uključuje prihode i </w:t>
      </w:r>
      <w:r w:rsidR="00E97FD9" w:rsidRPr="006419B6">
        <w:rPr>
          <w:rFonts w:eastAsia="Calibri"/>
          <w:lang w:eastAsia="en-US"/>
        </w:rPr>
        <w:t>rashode HAKOM-a</w:t>
      </w:r>
      <w:r w:rsidR="00E97FD9">
        <w:rPr>
          <w:rFonts w:eastAsia="Calibri"/>
          <w:lang w:eastAsia="en-US"/>
        </w:rPr>
        <w:t>.</w:t>
      </w:r>
      <w:r w:rsidR="00E97FD9" w:rsidRPr="006419B6">
        <w:rPr>
          <w:rFonts w:eastAsia="Calibri"/>
          <w:lang w:eastAsia="en-US"/>
        </w:rPr>
        <w:t xml:space="preserve"> </w:t>
      </w:r>
      <w:r w:rsidR="00E97FD9">
        <w:rPr>
          <w:rFonts w:eastAsia="Calibri"/>
          <w:lang w:eastAsia="en-US"/>
        </w:rPr>
        <w:t>Primici</w:t>
      </w:r>
      <w:r w:rsidRPr="006419B6">
        <w:rPr>
          <w:rFonts w:eastAsia="Calibri"/>
          <w:lang w:eastAsia="en-US"/>
        </w:rPr>
        <w:t xml:space="preserve"> </w:t>
      </w:r>
      <w:r w:rsidR="00E97FD9">
        <w:rPr>
          <w:rFonts w:eastAsia="Calibri"/>
          <w:lang w:eastAsia="en-US"/>
        </w:rPr>
        <w:t xml:space="preserve">i izdaci nisu </w:t>
      </w:r>
      <w:r w:rsidR="00DB5CBF">
        <w:rPr>
          <w:rFonts w:eastAsia="Calibri"/>
          <w:lang w:eastAsia="en-US"/>
        </w:rPr>
        <w:t>evidentirani</w:t>
      </w:r>
      <w:r w:rsidRPr="006419B6">
        <w:rPr>
          <w:rFonts w:eastAsia="Calibri"/>
          <w:lang w:eastAsia="en-US"/>
        </w:rPr>
        <w:t xml:space="preserve">. </w:t>
      </w:r>
    </w:p>
    <w:p w14:paraId="15A5E050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both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Podaci za popunjavanje financijskih izvještaja dobivaju se iz Glavne knjige koju informatički podržava Navision sustav. Poslovanje HAKOM-a obavlja se preko žiro-računa u Hrvatskoj poštanskoj banci d.d. broj: HR7423900011100320173 za kunsko i devizno poslovanje.</w:t>
      </w:r>
    </w:p>
    <w:p w14:paraId="179B120A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both"/>
        <w:rPr>
          <w:rFonts w:eastAsia="Calibri"/>
          <w:lang w:eastAsia="en-US"/>
        </w:rPr>
      </w:pPr>
    </w:p>
    <w:p w14:paraId="330FCD38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center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Bilješka 2.</w:t>
      </w:r>
    </w:p>
    <w:p w14:paraId="0040B10B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both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U obrascu PR-RAS iskazani su u kunama:</w:t>
      </w:r>
    </w:p>
    <w:tbl>
      <w:tblPr>
        <w:tblW w:w="9243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985"/>
      </w:tblGrid>
      <w:tr w:rsidR="00A65998" w:rsidRPr="006419B6" w14:paraId="07D8E548" w14:textId="77777777" w:rsidTr="001F11EA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4CD4A25A" w14:textId="77777777" w:rsidR="00A65998" w:rsidRPr="006419B6" w:rsidRDefault="00A65998" w:rsidP="00A65998">
            <w:pPr>
              <w:numPr>
                <w:ilvl w:val="0"/>
                <w:numId w:val="12"/>
              </w:numPr>
              <w:ind w:left="459"/>
              <w:rPr>
                <w:szCs w:val="20"/>
              </w:rPr>
            </w:pPr>
            <w:bookmarkStart w:id="0" w:name="_Hlk382850900"/>
            <w:r w:rsidRPr="006419B6">
              <w:rPr>
                <w:szCs w:val="20"/>
              </w:rPr>
              <w:t>ukupni prihodi poslovanja (AOP 001)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6528BF" w14:textId="5BFACD57" w:rsidR="00A65998" w:rsidRPr="006419B6" w:rsidRDefault="005A3F46" w:rsidP="001F11EA">
            <w:pPr>
              <w:jc w:val="right"/>
              <w:rPr>
                <w:szCs w:val="20"/>
              </w:rPr>
            </w:pPr>
            <w:r w:rsidRPr="005A3F46">
              <w:rPr>
                <w:rFonts w:eastAsia="Calibri"/>
                <w:szCs w:val="20"/>
                <w:lang w:eastAsia="en-US"/>
              </w:rPr>
              <w:t>85.814.030</w:t>
            </w:r>
          </w:p>
        </w:tc>
      </w:tr>
      <w:tr w:rsidR="00A65998" w:rsidRPr="006419B6" w14:paraId="72FCB619" w14:textId="77777777" w:rsidTr="001F11EA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26E0AFFC" w14:textId="77777777" w:rsidR="00A65998" w:rsidRPr="006419B6" w:rsidRDefault="00A65998" w:rsidP="00A65998">
            <w:pPr>
              <w:numPr>
                <w:ilvl w:val="0"/>
                <w:numId w:val="12"/>
              </w:numPr>
              <w:ind w:left="459"/>
              <w:rPr>
                <w:szCs w:val="20"/>
              </w:rPr>
            </w:pPr>
            <w:r w:rsidRPr="006419B6">
              <w:rPr>
                <w:szCs w:val="20"/>
              </w:rPr>
              <w:t xml:space="preserve">ukupni rashodi poslovanja (AOP 148)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CC0C33" w14:textId="7CA885A5" w:rsidR="00A65998" w:rsidRPr="006419B6" w:rsidRDefault="005A3F46" w:rsidP="001F11EA">
            <w:pPr>
              <w:jc w:val="right"/>
              <w:rPr>
                <w:szCs w:val="20"/>
              </w:rPr>
            </w:pPr>
            <w:r w:rsidRPr="005A3F46">
              <w:rPr>
                <w:szCs w:val="20"/>
              </w:rPr>
              <w:t>96.698.002</w:t>
            </w:r>
          </w:p>
        </w:tc>
      </w:tr>
      <w:tr w:rsidR="00A65998" w:rsidRPr="006419B6" w14:paraId="46EF0D0A" w14:textId="77777777" w:rsidTr="001F11EA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63E2D86A" w14:textId="77777777" w:rsidR="00A65998" w:rsidRPr="006419B6" w:rsidRDefault="00A65998" w:rsidP="001F11EA">
            <w:pPr>
              <w:ind w:firstLine="1026"/>
              <w:rPr>
                <w:b/>
                <w:bCs/>
                <w:i/>
                <w:iCs/>
                <w:szCs w:val="20"/>
              </w:rPr>
            </w:pPr>
            <w:r w:rsidRPr="006419B6">
              <w:rPr>
                <w:b/>
                <w:bCs/>
                <w:i/>
                <w:iCs/>
                <w:szCs w:val="20"/>
              </w:rPr>
              <w:t>manjak prihoda poslovanja (AOP 283)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9533C0" w14:textId="15F0E7B3" w:rsidR="00A65998" w:rsidRPr="006419B6" w:rsidRDefault="005A3F46" w:rsidP="001F11EA">
            <w:pPr>
              <w:jc w:val="right"/>
              <w:rPr>
                <w:b/>
                <w:bCs/>
                <w:i/>
                <w:iCs/>
                <w:szCs w:val="20"/>
              </w:rPr>
            </w:pPr>
            <w:r w:rsidRPr="005A3F46">
              <w:rPr>
                <w:b/>
                <w:bCs/>
                <w:i/>
                <w:iCs/>
                <w:szCs w:val="20"/>
              </w:rPr>
              <w:t>10.883.972</w:t>
            </w:r>
          </w:p>
        </w:tc>
      </w:tr>
      <w:tr w:rsidR="00A65998" w:rsidRPr="006419B6" w14:paraId="0CCD1F69" w14:textId="77777777" w:rsidTr="001F11EA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5BD40CA0" w14:textId="77777777" w:rsidR="00A65998" w:rsidRPr="006419B6" w:rsidRDefault="00A65998" w:rsidP="00A65998">
            <w:pPr>
              <w:numPr>
                <w:ilvl w:val="0"/>
                <w:numId w:val="12"/>
              </w:numPr>
              <w:ind w:left="459"/>
              <w:rPr>
                <w:szCs w:val="20"/>
              </w:rPr>
            </w:pPr>
            <w:r w:rsidRPr="006419B6">
              <w:rPr>
                <w:szCs w:val="20"/>
              </w:rPr>
              <w:t>ukupni prihodi od prodaje nefinancijske imovine (AOP 289)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F547B7" w14:textId="5A825E69" w:rsidR="00A65998" w:rsidRPr="006419B6" w:rsidRDefault="005A3F46" w:rsidP="001F11EA">
            <w:pPr>
              <w:jc w:val="right"/>
              <w:rPr>
                <w:szCs w:val="20"/>
              </w:rPr>
            </w:pPr>
            <w:r w:rsidRPr="005A3F46">
              <w:rPr>
                <w:rFonts w:eastAsia="Calibri"/>
                <w:szCs w:val="20"/>
                <w:lang w:eastAsia="en-US"/>
              </w:rPr>
              <w:t>437.850</w:t>
            </w:r>
          </w:p>
        </w:tc>
      </w:tr>
      <w:tr w:rsidR="00A65998" w:rsidRPr="006419B6" w14:paraId="449DF236" w14:textId="77777777" w:rsidTr="001F11EA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343AB039" w14:textId="77777777" w:rsidR="00A65998" w:rsidRPr="006419B6" w:rsidRDefault="00A65998" w:rsidP="00A65998">
            <w:pPr>
              <w:numPr>
                <w:ilvl w:val="0"/>
                <w:numId w:val="12"/>
              </w:numPr>
              <w:ind w:left="459"/>
              <w:rPr>
                <w:szCs w:val="20"/>
              </w:rPr>
            </w:pPr>
            <w:r w:rsidRPr="006419B6">
              <w:rPr>
                <w:szCs w:val="20"/>
              </w:rPr>
              <w:t>ukupni rashodi za nabavu nefinancijske imovine (AOP 341)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875392" w14:textId="4A75EFE5" w:rsidR="00A65998" w:rsidRPr="006419B6" w:rsidRDefault="005A3F46" w:rsidP="001F11EA">
            <w:pPr>
              <w:jc w:val="right"/>
              <w:rPr>
                <w:szCs w:val="20"/>
              </w:rPr>
            </w:pPr>
            <w:r w:rsidRPr="005A3F46">
              <w:rPr>
                <w:szCs w:val="20"/>
              </w:rPr>
              <w:t>7.624.840</w:t>
            </w:r>
          </w:p>
        </w:tc>
      </w:tr>
      <w:tr w:rsidR="00A65998" w:rsidRPr="006419B6" w14:paraId="0D29B947" w14:textId="77777777" w:rsidTr="001F11EA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7A61EA37" w14:textId="77777777" w:rsidR="00A65998" w:rsidRPr="006419B6" w:rsidRDefault="00A65998" w:rsidP="001F11EA">
            <w:pPr>
              <w:ind w:firstLine="1026"/>
              <w:rPr>
                <w:b/>
                <w:bCs/>
                <w:i/>
                <w:iCs/>
                <w:szCs w:val="20"/>
              </w:rPr>
            </w:pPr>
            <w:r w:rsidRPr="006419B6">
              <w:rPr>
                <w:b/>
                <w:bCs/>
                <w:i/>
                <w:iCs/>
                <w:szCs w:val="20"/>
              </w:rPr>
              <w:t>manjak prihoda od nefinancijske imovine (AOP 399)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632FB4" w14:textId="59C3320E" w:rsidR="00A65998" w:rsidRPr="006419B6" w:rsidRDefault="005A3F46" w:rsidP="001F11EA">
            <w:pPr>
              <w:jc w:val="right"/>
              <w:rPr>
                <w:b/>
                <w:bCs/>
                <w:i/>
                <w:iCs/>
                <w:szCs w:val="20"/>
              </w:rPr>
            </w:pPr>
            <w:r w:rsidRPr="005A3F46">
              <w:rPr>
                <w:b/>
                <w:bCs/>
                <w:i/>
                <w:iCs/>
                <w:szCs w:val="20"/>
              </w:rPr>
              <w:t>7.186.990</w:t>
            </w:r>
          </w:p>
        </w:tc>
      </w:tr>
      <w:tr w:rsidR="00A65998" w:rsidRPr="006419B6" w14:paraId="1FA1D918" w14:textId="77777777" w:rsidTr="001F11EA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14B584B4" w14:textId="77777777" w:rsidR="00A65998" w:rsidRPr="006419B6" w:rsidRDefault="00A65998" w:rsidP="001F11EA">
            <w:pPr>
              <w:rPr>
                <w:b/>
                <w:bCs/>
                <w:i/>
                <w:iCs/>
                <w:szCs w:val="20"/>
              </w:rPr>
            </w:pPr>
            <w:r w:rsidRPr="006419B6">
              <w:rPr>
                <w:b/>
                <w:bCs/>
                <w:i/>
                <w:iCs/>
                <w:szCs w:val="20"/>
              </w:rPr>
              <w:t>manjak prihoda i primitaka u promatranom razdoblju (AOP 632)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B0B1CE" w14:textId="6233B78B" w:rsidR="00A65998" w:rsidRPr="006419B6" w:rsidRDefault="005A3F46" w:rsidP="001F11EA">
            <w:pPr>
              <w:jc w:val="right"/>
              <w:rPr>
                <w:b/>
                <w:bCs/>
                <w:i/>
                <w:iCs/>
                <w:szCs w:val="20"/>
              </w:rPr>
            </w:pPr>
            <w:r w:rsidRPr="005A3F46">
              <w:rPr>
                <w:b/>
                <w:bCs/>
                <w:i/>
                <w:iCs/>
                <w:szCs w:val="20"/>
              </w:rPr>
              <w:t>18.070.962</w:t>
            </w:r>
          </w:p>
        </w:tc>
      </w:tr>
      <w:tr w:rsidR="00A65998" w:rsidRPr="006419B6" w14:paraId="27FF1756" w14:textId="77777777" w:rsidTr="001F11EA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1F123C79" w14:textId="77777777" w:rsidR="00A65998" w:rsidRPr="006419B6" w:rsidRDefault="00A65998" w:rsidP="001F11EA">
            <w:pPr>
              <w:rPr>
                <w:bCs/>
                <w:i/>
                <w:iCs/>
                <w:szCs w:val="20"/>
              </w:rPr>
            </w:pPr>
            <w:r w:rsidRPr="006419B6">
              <w:rPr>
                <w:bCs/>
                <w:i/>
                <w:iCs/>
                <w:szCs w:val="20"/>
              </w:rPr>
              <w:t>višak prihoda i primitaka – preneseni (AOP 633)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A69DC4" w14:textId="02F2D632" w:rsidR="00A65998" w:rsidRPr="006419B6" w:rsidRDefault="005A3F46" w:rsidP="001F11EA">
            <w:pPr>
              <w:jc w:val="right"/>
              <w:rPr>
                <w:bCs/>
                <w:i/>
                <w:iCs/>
                <w:szCs w:val="20"/>
              </w:rPr>
            </w:pPr>
            <w:r w:rsidRPr="005A3F46">
              <w:rPr>
                <w:bCs/>
                <w:i/>
                <w:iCs/>
                <w:szCs w:val="20"/>
              </w:rPr>
              <w:t>47.121.880</w:t>
            </w:r>
          </w:p>
        </w:tc>
      </w:tr>
      <w:tr w:rsidR="00A65998" w:rsidRPr="006419B6" w14:paraId="24E88A3E" w14:textId="77777777" w:rsidTr="001F11EA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002EFB63" w14:textId="77777777" w:rsidR="00A65998" w:rsidRPr="006419B6" w:rsidRDefault="00A65998" w:rsidP="001F11EA">
            <w:pPr>
              <w:rPr>
                <w:b/>
                <w:bCs/>
                <w:i/>
                <w:iCs/>
                <w:szCs w:val="20"/>
              </w:rPr>
            </w:pPr>
            <w:r w:rsidRPr="006419B6">
              <w:rPr>
                <w:b/>
                <w:bCs/>
                <w:i/>
                <w:iCs/>
                <w:szCs w:val="20"/>
              </w:rPr>
              <w:t>višak prihoda i primitaka raspoloživ u sljedećem razdoblju (AOP 635)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6EC0D6" w14:textId="23710084" w:rsidR="00A65998" w:rsidRPr="006419B6" w:rsidRDefault="00FD1BD9" w:rsidP="001F11EA">
            <w:pPr>
              <w:jc w:val="right"/>
              <w:rPr>
                <w:b/>
                <w:bCs/>
                <w:i/>
                <w:iCs/>
                <w:szCs w:val="20"/>
              </w:rPr>
            </w:pPr>
            <w:r w:rsidRPr="00FD1BD9">
              <w:rPr>
                <w:b/>
                <w:bCs/>
                <w:i/>
                <w:iCs/>
                <w:szCs w:val="20"/>
              </w:rPr>
              <w:t>29.050.918</w:t>
            </w:r>
          </w:p>
        </w:tc>
      </w:tr>
    </w:tbl>
    <w:bookmarkEnd w:id="0"/>
    <w:p w14:paraId="080C2CBE" w14:textId="282DA496" w:rsidR="00A65998" w:rsidRPr="006419B6" w:rsidRDefault="00A65998" w:rsidP="007938FD">
      <w:pPr>
        <w:keepNext/>
        <w:jc w:val="both"/>
      </w:pPr>
      <w:r w:rsidRPr="006419B6">
        <w:lastRenderedPageBreak/>
        <w:t>U razdoblju od 1. siječnja do 3</w:t>
      </w:r>
      <w:r w:rsidR="00F336CD">
        <w:t>1</w:t>
      </w:r>
      <w:r w:rsidRPr="006419B6">
        <w:t xml:space="preserve">. </w:t>
      </w:r>
      <w:r w:rsidR="00F336CD">
        <w:t>prosinca</w:t>
      </w:r>
      <w:r w:rsidRPr="006419B6">
        <w:t xml:space="preserve"> 2020. prihodi poslovanja su ostvareni u iznosu od </w:t>
      </w:r>
      <w:r w:rsidR="00F336CD" w:rsidRPr="00F336CD">
        <w:t>85.814.030</w:t>
      </w:r>
      <w:r w:rsidRPr="006419B6">
        <w:t xml:space="preserve"> kn, odnosno </w:t>
      </w:r>
      <w:r w:rsidR="00421418">
        <w:t>7,8</w:t>
      </w:r>
      <w:r w:rsidRPr="006419B6">
        <w:t xml:space="preserve">% manje nego u istom razdoblju prethodne godine. Smanjenje ukupnih prihoda poslovanja proizašlo je najvećim dijelom iz smanjenja prihoda po posebnim propisima, zatim tekućih pomoći od institucija i tijela EU, prihoda od financijske imovine te ostalih prihoda. </w:t>
      </w:r>
    </w:p>
    <w:p w14:paraId="561D1BAF" w14:textId="49CA43D4" w:rsidR="00A65998" w:rsidRPr="006419B6" w:rsidRDefault="00A65998" w:rsidP="007938FD">
      <w:pPr>
        <w:keepNext/>
        <w:jc w:val="both"/>
      </w:pPr>
      <w:r w:rsidRPr="006419B6">
        <w:t xml:space="preserve">Rashodi poslovanja ostvareni su u iznosu od </w:t>
      </w:r>
      <w:r w:rsidR="00792063" w:rsidRPr="00792063">
        <w:t>96.698.002</w:t>
      </w:r>
      <w:r w:rsidRPr="006419B6">
        <w:t xml:space="preserve"> kn, odnosno za </w:t>
      </w:r>
      <w:r w:rsidR="00792063">
        <w:t>30,1</w:t>
      </w:r>
      <w:r w:rsidRPr="006419B6">
        <w:t xml:space="preserve">% </w:t>
      </w:r>
      <w:r w:rsidR="00E858A7">
        <w:t>su veći</w:t>
      </w:r>
      <w:r w:rsidRPr="006419B6">
        <w:t xml:space="preserve"> nego u promatranom razdoblju prethodne godine. Rast ukupnih rashoda poslovanja proizašao je najvećim dijelom iz rasta troškova sudskih postupa</w:t>
      </w:r>
      <w:r w:rsidR="007D6C79">
        <w:t>ka, zatim rashoda za zaposlene</w:t>
      </w:r>
      <w:r w:rsidRPr="006419B6">
        <w:t xml:space="preserve">, </w:t>
      </w:r>
      <w:r w:rsidR="0053124D">
        <w:t xml:space="preserve">rashoda za </w:t>
      </w:r>
      <w:r w:rsidRPr="006419B6">
        <w:t>zdravstvene usluge, intelektualne i osobne uslu</w:t>
      </w:r>
      <w:r w:rsidR="00515169">
        <w:t>ge</w:t>
      </w:r>
      <w:r w:rsidR="00B31394">
        <w:t>, s</w:t>
      </w:r>
      <w:r w:rsidR="00B31394" w:rsidRPr="00B31394">
        <w:t>tručno usavršavanje zaposlenika</w:t>
      </w:r>
      <w:r w:rsidR="0062475F">
        <w:t xml:space="preserve"> te negativnih tečajnih razlika</w:t>
      </w:r>
      <w:r w:rsidRPr="006419B6">
        <w:t>.</w:t>
      </w:r>
    </w:p>
    <w:p w14:paraId="5DB479B4" w14:textId="5DF6BA53" w:rsidR="002B2F14" w:rsidRPr="002B2F14" w:rsidRDefault="00A65998" w:rsidP="007938FD">
      <w:pPr>
        <w:keepNext/>
        <w:jc w:val="both"/>
        <w:rPr>
          <w:color w:val="FF0000"/>
        </w:rPr>
      </w:pPr>
      <w:r w:rsidRPr="006419B6">
        <w:t xml:space="preserve">Manjak prihoda poslovanja utvrđen za promatrano razdoblje iznosi </w:t>
      </w:r>
      <w:r w:rsidR="0053284B" w:rsidRPr="0053284B">
        <w:t>10.883.972</w:t>
      </w:r>
      <w:r w:rsidRPr="006419B6">
        <w:t xml:space="preserve"> kn. </w:t>
      </w:r>
      <w:r w:rsidR="003D051E">
        <w:t>P</w:t>
      </w:r>
      <w:r w:rsidRPr="006419B6">
        <w:t>renesen</w:t>
      </w:r>
      <w:r w:rsidR="003D051E">
        <w:t>i</w:t>
      </w:r>
      <w:r w:rsidRPr="006419B6">
        <w:t xml:space="preserve"> višak prihoda poslovanja </w:t>
      </w:r>
      <w:r w:rsidR="003D051E" w:rsidRPr="002B2F14">
        <w:t>iznosi</w:t>
      </w:r>
      <w:r w:rsidRPr="002B2F14">
        <w:t xml:space="preserve"> </w:t>
      </w:r>
      <w:r w:rsidR="0007000C" w:rsidRPr="002B2F14">
        <w:t>47.121.880</w:t>
      </w:r>
      <w:r w:rsidRPr="002B2F14">
        <w:t xml:space="preserve"> kn.</w:t>
      </w:r>
      <w:r w:rsidR="00910F41">
        <w:t xml:space="preserve"> </w:t>
      </w:r>
    </w:p>
    <w:p w14:paraId="08171E13" w14:textId="77777777" w:rsidR="00A65998" w:rsidRPr="006419B6" w:rsidRDefault="00A65998" w:rsidP="00A65998">
      <w:pPr>
        <w:keepNext/>
        <w:jc w:val="both"/>
      </w:pPr>
    </w:p>
    <w:p w14:paraId="79E9736D" w14:textId="3056F7A6" w:rsidR="00A65998" w:rsidRPr="006419B6" w:rsidRDefault="00A65998" w:rsidP="00A65998">
      <w:pPr>
        <w:keepNext/>
        <w:jc w:val="both"/>
      </w:pPr>
      <w:r w:rsidRPr="006419B6">
        <w:t>Prihodi od prodaje nefinancijske imovine ostvareni su u razdoblju od 1. siječnja do 3</w:t>
      </w:r>
      <w:r w:rsidR="005768FD">
        <w:t>1</w:t>
      </w:r>
      <w:r w:rsidRPr="006419B6">
        <w:t xml:space="preserve">. </w:t>
      </w:r>
      <w:r w:rsidR="005768FD">
        <w:t>prosinca</w:t>
      </w:r>
      <w:r w:rsidRPr="006419B6">
        <w:t xml:space="preserve"> 2020. u iznosu </w:t>
      </w:r>
      <w:r>
        <w:t xml:space="preserve">od </w:t>
      </w:r>
      <w:r w:rsidR="005768FD" w:rsidRPr="005768FD">
        <w:t>437.850</w:t>
      </w:r>
      <w:r w:rsidRPr="006419B6">
        <w:t xml:space="preserve"> kn što predstavlja značajno povećanje ostvarenja ovih prihoda u odnosu na promatrano razdoblje prethodne go</w:t>
      </w:r>
      <w:r>
        <w:t xml:space="preserve">dine kad su iznosili </w:t>
      </w:r>
      <w:r w:rsidR="000D301C" w:rsidRPr="000D301C">
        <w:t>55.199</w:t>
      </w:r>
      <w:r>
        <w:t xml:space="preserve"> kn. Prihodi od prodaje nefinancijske imovine su </w:t>
      </w:r>
      <w:r w:rsidR="000D301C">
        <w:t xml:space="preserve">najvećim dijelom </w:t>
      </w:r>
      <w:r>
        <w:t xml:space="preserve">ostvareni uslijed prodaje devet službenih vozila HAKOM-a. </w:t>
      </w:r>
      <w:r w:rsidR="000D301C">
        <w:t xml:space="preserve"> </w:t>
      </w:r>
    </w:p>
    <w:p w14:paraId="0BFE031A" w14:textId="19A1C733" w:rsidR="00A65998" w:rsidRDefault="00A65998" w:rsidP="00A65998">
      <w:pPr>
        <w:jc w:val="both"/>
      </w:pPr>
      <w:r>
        <w:t xml:space="preserve">Rashodi za nabavu nefinancijske imovine su ostvareni u iznosu od </w:t>
      </w:r>
      <w:r w:rsidR="00FA01B6" w:rsidRPr="00FA01B6">
        <w:t>7.624.840</w:t>
      </w:r>
      <w:r>
        <w:t xml:space="preserve"> kn, što predstavlja značajno povećanje ostvarenja ovih rashoda u odnosu na promatrano razdoblje prethodne godine kad su iznosili </w:t>
      </w:r>
      <w:r w:rsidR="00FA01B6" w:rsidRPr="00FA01B6">
        <w:t>4.178.574</w:t>
      </w:r>
      <w:r>
        <w:t xml:space="preserve"> kn. Rast ukupnih rashoda za nabavu nefinancijske imovine proizašao je iz rashoda za nabavu prijevoznih sredstava u cestovnom </w:t>
      </w:r>
      <w:r w:rsidRPr="003B4120">
        <w:t>prometu</w:t>
      </w:r>
      <w:r w:rsidR="00EC5BA0">
        <w:t>, rashoda za nabavu mjernih instrumenata i</w:t>
      </w:r>
      <w:r w:rsidR="00EC5BA0" w:rsidRPr="00EC5BA0">
        <w:t xml:space="preserve"> uređaj</w:t>
      </w:r>
      <w:r w:rsidR="00EC5BA0">
        <w:t>a</w:t>
      </w:r>
      <w:r w:rsidR="00EC5BA0" w:rsidRPr="00EC5BA0">
        <w:t xml:space="preserve"> </w:t>
      </w:r>
      <w:r w:rsidR="00EC5BA0">
        <w:t>te</w:t>
      </w:r>
      <w:r w:rsidRPr="003B4120">
        <w:t xml:space="preserve"> rashoda za dodatna ulaganja za ostalu nefinancijsku imovinu.</w:t>
      </w:r>
      <w:r>
        <w:t xml:space="preserve"> </w:t>
      </w:r>
      <w:r w:rsidR="00FA01B6">
        <w:t xml:space="preserve"> </w:t>
      </w:r>
    </w:p>
    <w:p w14:paraId="2AC9C281" w14:textId="76FF9152" w:rsidR="00A65998" w:rsidRDefault="00A65998" w:rsidP="00A65998">
      <w:pPr>
        <w:jc w:val="both"/>
      </w:pPr>
      <w:r>
        <w:t xml:space="preserve">Ostvareni manjak prihoda od nefinancijske imovine iznosi </w:t>
      </w:r>
      <w:r w:rsidR="00EA6B87" w:rsidRPr="00EA6B87">
        <w:t>7.186.990</w:t>
      </w:r>
      <w:r>
        <w:t xml:space="preserve"> kn te se povećao u odnosu na ostvarenje u istom razdoblju 2019. </w:t>
      </w:r>
      <w:r w:rsidR="00EA6B87">
        <w:t xml:space="preserve"> </w:t>
      </w:r>
    </w:p>
    <w:p w14:paraId="1937A256" w14:textId="77777777" w:rsidR="00A65998" w:rsidRDefault="00A65998" w:rsidP="00A65998">
      <w:pPr>
        <w:jc w:val="both"/>
      </w:pPr>
    </w:p>
    <w:p w14:paraId="065B7E0F" w14:textId="6B82E4D7" w:rsidR="00A65998" w:rsidRDefault="00A65998" w:rsidP="00A65998">
      <w:pPr>
        <w:jc w:val="both"/>
      </w:pPr>
      <w:r>
        <w:t xml:space="preserve">Ukupni rezultat HAKOM-a u 2020. je manjak prihoda i primitaka u iznosu od </w:t>
      </w:r>
      <w:r w:rsidR="00A04D4D" w:rsidRPr="00A04D4D">
        <w:t>18.070.962</w:t>
      </w:r>
      <w:r>
        <w:t xml:space="preserve"> kn, a s obzirom da prenesen</w:t>
      </w:r>
      <w:r w:rsidR="00A04D4D">
        <w:t>i</w:t>
      </w:r>
      <w:r>
        <w:t xml:space="preserve"> višak prihoda i primitaka </w:t>
      </w:r>
      <w:r w:rsidR="00A04D4D">
        <w:t>i</w:t>
      </w:r>
      <w:r>
        <w:t>znos</w:t>
      </w:r>
      <w:r w:rsidR="00A04D4D">
        <w:t xml:space="preserve">i </w:t>
      </w:r>
      <w:r w:rsidR="00A04D4D" w:rsidRPr="00A04D4D">
        <w:t>47.121.880</w:t>
      </w:r>
      <w:r>
        <w:t xml:space="preserve"> kn, ukupni višak prihoda i primitaka raspoloživ u sljedećem razdoblju iznosi </w:t>
      </w:r>
      <w:r w:rsidR="00A04D4D" w:rsidRPr="00A04D4D">
        <w:t>29.050.918</w:t>
      </w:r>
      <w:r>
        <w:t xml:space="preserve"> kn.</w:t>
      </w:r>
      <w:r w:rsidR="00A04D4D">
        <w:t xml:space="preserve"> </w:t>
      </w:r>
      <w:r w:rsidR="00D36EDA">
        <w:t xml:space="preserve"> </w:t>
      </w:r>
    </w:p>
    <w:p w14:paraId="7C6DE87E" w14:textId="77777777" w:rsidR="002B2F14" w:rsidRDefault="002B2F14" w:rsidP="00A65998">
      <w:pPr>
        <w:jc w:val="both"/>
      </w:pPr>
    </w:p>
    <w:p w14:paraId="7EFFBD7E" w14:textId="4265579E" w:rsidR="00A65998" w:rsidRDefault="002B2F14" w:rsidP="00A65998">
      <w:pPr>
        <w:jc w:val="both"/>
      </w:pPr>
      <w:r w:rsidRPr="0048191C">
        <w:t xml:space="preserve">Razlika između </w:t>
      </w:r>
      <w:r w:rsidR="0048191C" w:rsidRPr="0048191C">
        <w:t xml:space="preserve">viška prihoda raspoloživog u sljedećem razdoblju na dan 31.12.2019. </w:t>
      </w:r>
      <w:r w:rsidR="0048191C">
        <w:t xml:space="preserve">(AOP – 635) </w:t>
      </w:r>
      <w:r w:rsidR="0048191C" w:rsidRPr="0048191C">
        <w:t xml:space="preserve">i viška prihoda – prenesenog na dan 31.12.2020. </w:t>
      </w:r>
      <w:r w:rsidR="0048191C">
        <w:t xml:space="preserve">(AOP – 633) u iznosu od 58.196 kn </w:t>
      </w:r>
      <w:r w:rsidR="0048191C" w:rsidRPr="0048191C">
        <w:t>rezultat</w:t>
      </w:r>
      <w:r w:rsidRPr="0048191C">
        <w:t xml:space="preserve"> </w:t>
      </w:r>
      <w:r w:rsidR="0048191C">
        <w:t>je isprav</w:t>
      </w:r>
      <w:r w:rsidRPr="0048191C">
        <w:t>ka krivih knjiženja</w:t>
      </w:r>
      <w:r w:rsidR="0048191C">
        <w:t xml:space="preserve"> (</w:t>
      </w:r>
      <w:r w:rsidR="00B0387C" w:rsidRPr="00B0387C">
        <w:t xml:space="preserve">greškom </w:t>
      </w:r>
      <w:r w:rsidR="00B0387C">
        <w:t xml:space="preserve">su </w:t>
      </w:r>
      <w:r w:rsidR="00B0387C" w:rsidRPr="00B0387C">
        <w:t>isti ras</w:t>
      </w:r>
      <w:r w:rsidR="00B0387C">
        <w:t xml:space="preserve">hodi u 2019. iskazani dva puta – </w:t>
      </w:r>
      <w:r w:rsidR="00B0387C" w:rsidRPr="00B0387C">
        <w:t>prilikom</w:t>
      </w:r>
      <w:r w:rsidR="00B0387C">
        <w:t xml:space="preserve"> </w:t>
      </w:r>
      <w:r w:rsidR="00B0387C" w:rsidRPr="00B0387C">
        <w:t>knjiženja ulaznih računa i prilikom knjiženja obračunatih rashoda koji nisu fakturirani, a terete tekuće razdoblje)</w:t>
      </w:r>
      <w:r w:rsidR="0048191C">
        <w:t>.</w:t>
      </w:r>
    </w:p>
    <w:p w14:paraId="341585E2" w14:textId="77777777" w:rsidR="00A65998" w:rsidRDefault="00A65998" w:rsidP="00A65998">
      <w:pPr>
        <w:jc w:val="center"/>
      </w:pPr>
      <w:r>
        <w:t>Bilješka 3.</w:t>
      </w:r>
    </w:p>
    <w:p w14:paraId="38BDF35D" w14:textId="77777777" w:rsidR="00A65998" w:rsidRDefault="00A65998" w:rsidP="00A65998">
      <w:pPr>
        <w:jc w:val="center"/>
      </w:pPr>
      <w:r>
        <w:t>AOP 052 Tekuće pomoći od institucija i tijela EU</w:t>
      </w:r>
    </w:p>
    <w:p w14:paraId="6A2DFC77" w14:textId="2083E996" w:rsidR="00A65998" w:rsidRDefault="00A65998" w:rsidP="00A65998">
      <w:pPr>
        <w:jc w:val="both"/>
      </w:pPr>
      <w:r>
        <w:t>T</w:t>
      </w:r>
      <w:r w:rsidRPr="00B0378B">
        <w:t xml:space="preserve">ekuće pomoći od institucija i tijela EU ostvarene su u </w:t>
      </w:r>
      <w:r>
        <w:t>2020</w:t>
      </w:r>
      <w:r w:rsidR="001C1B61">
        <w:t>. u iznosu od 95.033</w:t>
      </w:r>
      <w:r w:rsidRPr="00B0378B">
        <w:t xml:space="preserve"> kn, što je </w:t>
      </w:r>
      <w:r w:rsidR="003F0CD5">
        <w:t>71,8</w:t>
      </w:r>
      <w:r w:rsidRPr="00B0378B">
        <w:t xml:space="preserve">% </w:t>
      </w:r>
      <w:r>
        <w:t>manje</w:t>
      </w:r>
      <w:r w:rsidRPr="00B0378B">
        <w:t xml:space="preserve"> u odnosu na ostvarenje u prethodnom izvještajnom razdoblju. Od ukupnog iznosa pomoći od EU evidentiranog u izvještaju, </w:t>
      </w:r>
      <w:r>
        <w:t xml:space="preserve">81.973 kn se odnosi na refundaciju troškova službenih putovanja </w:t>
      </w:r>
      <w:r w:rsidRPr="00D101B8">
        <w:t xml:space="preserve">od BEREC-a </w:t>
      </w:r>
      <w:r>
        <w:t>(</w:t>
      </w:r>
      <w:r w:rsidRPr="00D101B8">
        <w:t>Tijel</w:t>
      </w:r>
      <w:r>
        <w:t>o</w:t>
      </w:r>
      <w:r w:rsidRPr="00D101B8">
        <w:t xml:space="preserve"> europskih regulator</w:t>
      </w:r>
      <w:r>
        <w:t xml:space="preserve">a za elektroničke komunikacije). Smanjenje prihoda tekućih pomoći od </w:t>
      </w:r>
      <w:r w:rsidRPr="00B701A6">
        <w:t>institucija i tijela EU</w:t>
      </w:r>
      <w:r>
        <w:t xml:space="preserve"> je rezultat ograničavanja, a u određenom razdoblju</w:t>
      </w:r>
      <w:r w:rsidR="00573850">
        <w:t xml:space="preserve"> 2020.</w:t>
      </w:r>
      <w:r>
        <w:t xml:space="preserve">, i zabrane inozemnih službenih putovanja zbog krize uzrokovane virusom COVID-19. </w:t>
      </w:r>
    </w:p>
    <w:p w14:paraId="013B5E97" w14:textId="77777777" w:rsidR="00A65998" w:rsidRDefault="00A65998" w:rsidP="00A65998">
      <w:pPr>
        <w:jc w:val="both"/>
      </w:pPr>
    </w:p>
    <w:p w14:paraId="5DA875E9" w14:textId="77777777" w:rsidR="00A65998" w:rsidRDefault="00A65998" w:rsidP="00A65998">
      <w:pPr>
        <w:jc w:val="center"/>
      </w:pPr>
      <w:r>
        <w:t>Bilješka 4.</w:t>
      </w:r>
    </w:p>
    <w:p w14:paraId="22C0482F" w14:textId="77777777" w:rsidR="00A65998" w:rsidRDefault="00A65998" w:rsidP="00A65998">
      <w:pPr>
        <w:jc w:val="center"/>
      </w:pPr>
      <w:r>
        <w:t>AOP 111 Prihodi po posebnim propisima</w:t>
      </w:r>
    </w:p>
    <w:p w14:paraId="49BCC8AC" w14:textId="0F4A5842" w:rsidR="00BC0AC9" w:rsidRDefault="00A65998" w:rsidP="00BC0AC9">
      <w:p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0E7D95">
        <w:rPr>
          <w:rFonts w:eastAsia="Calibri"/>
          <w:lang w:eastAsia="en-US"/>
        </w:rPr>
        <w:t>rihod</w:t>
      </w:r>
      <w:r>
        <w:rPr>
          <w:rFonts w:eastAsia="Calibri"/>
          <w:lang w:eastAsia="en-US"/>
        </w:rPr>
        <w:t>i</w:t>
      </w:r>
      <w:r w:rsidRPr="000E7D95">
        <w:rPr>
          <w:rFonts w:eastAsia="Calibri"/>
          <w:lang w:eastAsia="en-US"/>
        </w:rPr>
        <w:t xml:space="preserve"> po posebnim </w:t>
      </w:r>
      <w:r w:rsidRPr="00996A4D">
        <w:rPr>
          <w:rFonts w:eastAsia="Calibri"/>
          <w:lang w:eastAsia="en-US"/>
        </w:rPr>
        <w:t>propisima</w:t>
      </w:r>
      <w:r>
        <w:rPr>
          <w:rFonts w:eastAsia="Calibri"/>
          <w:lang w:eastAsia="en-US"/>
        </w:rPr>
        <w:t>,</w:t>
      </w:r>
      <w:r w:rsidRPr="00996A4D">
        <w:rPr>
          <w:rFonts w:eastAsia="Calibri"/>
          <w:lang w:eastAsia="en-US"/>
        </w:rPr>
        <w:t xml:space="preserve"> koji se </w:t>
      </w:r>
      <w:r>
        <w:rPr>
          <w:rFonts w:eastAsia="Calibri"/>
          <w:lang w:eastAsia="en-US"/>
        </w:rPr>
        <w:t xml:space="preserve">odnose na naknade za uporabu </w:t>
      </w:r>
      <w:proofErr w:type="spellStart"/>
      <w:r>
        <w:rPr>
          <w:rFonts w:eastAsia="Calibri"/>
          <w:lang w:eastAsia="en-US"/>
        </w:rPr>
        <w:t>radiofrekvencijskog</w:t>
      </w:r>
      <w:proofErr w:type="spellEnd"/>
      <w:r>
        <w:rPr>
          <w:rFonts w:eastAsia="Calibri"/>
          <w:lang w:eastAsia="en-US"/>
        </w:rPr>
        <w:t xml:space="preserve"> spektra, naknade za uporabu adresa i brojeva, naknade za obavljanje poslova HAKOM-a u području poštanskih i željezničkih usluga te drugih poslova u području elektroničkih komunikacija, </w:t>
      </w:r>
      <w:r w:rsidRPr="00996A4D">
        <w:t>su</w:t>
      </w:r>
      <w:r w:rsidRPr="00B0378B">
        <w:t xml:space="preserve"> u </w:t>
      </w:r>
      <w:r>
        <w:t>2020</w:t>
      </w:r>
      <w:r w:rsidRPr="00B0378B">
        <w:t xml:space="preserve">. </w:t>
      </w:r>
      <w:r>
        <w:t xml:space="preserve">ostvareni </w:t>
      </w:r>
      <w:r w:rsidRPr="00B0378B">
        <w:t xml:space="preserve">u iznosu od </w:t>
      </w:r>
      <w:r w:rsidR="005D20A6" w:rsidRPr="005D20A6">
        <w:rPr>
          <w:rFonts w:eastAsia="Calibri"/>
          <w:lang w:eastAsia="en-US"/>
        </w:rPr>
        <w:t>85.523.</w:t>
      </w:r>
      <w:r w:rsidR="005D20A6" w:rsidRPr="00B0387C">
        <w:rPr>
          <w:rFonts w:eastAsia="Calibri"/>
          <w:lang w:eastAsia="en-US"/>
        </w:rPr>
        <w:t>292</w:t>
      </w:r>
      <w:r w:rsidRPr="00B0387C">
        <w:rPr>
          <w:rFonts w:eastAsia="Calibri"/>
          <w:lang w:eastAsia="en-US"/>
        </w:rPr>
        <w:t xml:space="preserve"> kn</w:t>
      </w:r>
      <w:r w:rsidRPr="00B0387C">
        <w:t xml:space="preserve">, što je </w:t>
      </w:r>
      <w:r w:rsidR="005D20A6" w:rsidRPr="00B0387C">
        <w:t>7,4</w:t>
      </w:r>
      <w:r w:rsidRPr="00B0387C">
        <w:t xml:space="preserve">% manje u odnosu na ostvarenje u prethodnom </w:t>
      </w:r>
      <w:r w:rsidRPr="00B0387C">
        <w:lastRenderedPageBreak/>
        <w:t>izvještajnom razdoblju.</w:t>
      </w:r>
      <w:r w:rsidRPr="00350E4E">
        <w:rPr>
          <w:rFonts w:eastAsia="Calibri"/>
          <w:lang w:eastAsia="en-US"/>
        </w:rPr>
        <w:t xml:space="preserve"> </w:t>
      </w:r>
      <w:r w:rsidR="00237396">
        <w:rPr>
          <w:rFonts w:eastAsia="Calibri"/>
          <w:lang w:eastAsia="en-US"/>
        </w:rPr>
        <w:t>Pravilnikom o plaćanju naknada za obavljanje poslova HAKOM-a smanjene su određene naknade što je utjecalo na smanjenje prihoda.</w:t>
      </w:r>
      <w:r w:rsidR="006D4A70">
        <w:rPr>
          <w:rFonts w:eastAsia="Calibri"/>
          <w:lang w:eastAsia="en-US"/>
        </w:rPr>
        <w:t xml:space="preserve"> </w:t>
      </w:r>
    </w:p>
    <w:p w14:paraId="359F5390" w14:textId="77777777" w:rsidR="006D4A70" w:rsidRDefault="006D4A70" w:rsidP="00BC0AC9">
      <w:p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</w:p>
    <w:p w14:paraId="2E3C0798" w14:textId="77777777" w:rsidR="00A65998" w:rsidRDefault="00A65998" w:rsidP="00FB12CA">
      <w:pPr>
        <w:jc w:val="center"/>
      </w:pPr>
      <w:r>
        <w:t>Bilješka 5.</w:t>
      </w:r>
    </w:p>
    <w:p w14:paraId="4FFC253D" w14:textId="77777777" w:rsidR="00A65998" w:rsidRDefault="00A65998" w:rsidP="00A65998">
      <w:pPr>
        <w:jc w:val="center"/>
      </w:pPr>
      <w:r>
        <w:t>AOP 149 Rashodi za zaposlene</w:t>
      </w:r>
    </w:p>
    <w:p w14:paraId="172D78E4" w14:textId="7F49D878" w:rsidR="00A65998" w:rsidRDefault="00A65998" w:rsidP="00A65998">
      <w:pPr>
        <w:jc w:val="both"/>
      </w:pPr>
      <w:r>
        <w:t xml:space="preserve">Rashodi za zaposlene su u promatranom razdoblju ostvareni u iznosu od </w:t>
      </w:r>
      <w:r w:rsidR="0074681E" w:rsidRPr="0074681E">
        <w:t>46.499.403</w:t>
      </w:r>
      <w:r w:rsidRPr="001143FF">
        <w:t xml:space="preserve"> kn</w:t>
      </w:r>
      <w:r>
        <w:t xml:space="preserve">, što predstavlja povećanje od </w:t>
      </w:r>
      <w:r w:rsidR="0074681E">
        <w:t>6,6</w:t>
      </w:r>
      <w:r>
        <w:t>% u odnosu na ostvarenje u promatranom razdoblju prethodne godine. Povećanje rashoda za zaposlene posljedica je većeg broja zaposlenika. Prosječan broj zaposlenih na osnovi stanja na početku i na kraju izvještajnog razdoblja u 2020. iznosi 18</w:t>
      </w:r>
      <w:r w:rsidR="0074681E">
        <w:t>5</w:t>
      </w:r>
      <w:r>
        <w:t>, a u 2019. je iznosio 1</w:t>
      </w:r>
      <w:r w:rsidR="0074681E">
        <w:t>80</w:t>
      </w:r>
      <w:r>
        <w:t xml:space="preserve"> (veza AOP 642). </w:t>
      </w:r>
    </w:p>
    <w:p w14:paraId="4683939A" w14:textId="4DC765BF" w:rsidR="00A65998" w:rsidRDefault="00A65998" w:rsidP="00A65998">
      <w:pPr>
        <w:jc w:val="both"/>
      </w:pPr>
      <w:r w:rsidRPr="005E67B1">
        <w:t>HAKOM je u 2020. zapošljavao 2 zaposlenika za koja su korištene mjere aktivne politike zapošljavanja koje provode Ministarstvo rada i mirovinskoga sustava i Hrvatski zavod za zapošljavanje (mjere za stjecanje prvog radnog iskustva/pripravništva).</w:t>
      </w:r>
      <w:r>
        <w:t xml:space="preserve"> </w:t>
      </w:r>
    </w:p>
    <w:p w14:paraId="40C24D71" w14:textId="77777777" w:rsidR="00A65998" w:rsidRDefault="00A65998" w:rsidP="00A65998">
      <w:pPr>
        <w:jc w:val="both"/>
      </w:pPr>
    </w:p>
    <w:p w14:paraId="7921C15D" w14:textId="77777777" w:rsidR="00A65998" w:rsidRDefault="00A65998" w:rsidP="00A65998">
      <w:pPr>
        <w:jc w:val="center"/>
      </w:pPr>
      <w:r>
        <w:t>Bilješka 6.</w:t>
      </w:r>
    </w:p>
    <w:p w14:paraId="1F03FA68" w14:textId="77777777" w:rsidR="00A65998" w:rsidRDefault="00A65998" w:rsidP="00A65998">
      <w:pPr>
        <w:jc w:val="center"/>
      </w:pPr>
      <w:r>
        <w:t>AOP 160 Materijalni rashodi</w:t>
      </w:r>
    </w:p>
    <w:p w14:paraId="76AA37BA" w14:textId="28FBCDB5" w:rsidR="00A65998" w:rsidRDefault="00A65998" w:rsidP="00A65998">
      <w:pPr>
        <w:jc w:val="both"/>
        <w:rPr>
          <w:rFonts w:eastAsia="Calibri"/>
          <w:lang w:eastAsia="en-US"/>
        </w:rPr>
      </w:pPr>
      <w:r>
        <w:t xml:space="preserve">Materijalni rashodi su ostvareni u iznosu od </w:t>
      </w:r>
      <w:r w:rsidR="00117537" w:rsidRPr="00117537">
        <w:rPr>
          <w:rFonts w:eastAsia="Calibri"/>
          <w:lang w:eastAsia="en-US"/>
        </w:rPr>
        <w:t>49.822.141</w:t>
      </w:r>
      <w:r w:rsidRPr="000E7D95">
        <w:rPr>
          <w:rFonts w:eastAsia="Calibri"/>
          <w:lang w:eastAsia="en-US"/>
        </w:rPr>
        <w:t xml:space="preserve"> kn</w:t>
      </w:r>
      <w:r>
        <w:rPr>
          <w:rFonts w:eastAsia="Calibri"/>
          <w:lang w:eastAsia="en-US"/>
        </w:rPr>
        <w:t>, što predstavlja povećanje u odnosu na promatrano razdoblje prethodne godine</w:t>
      </w:r>
      <w:r w:rsidR="00117537">
        <w:rPr>
          <w:rFonts w:eastAsia="Calibri"/>
          <w:lang w:eastAsia="en-US"/>
        </w:rPr>
        <w:t xml:space="preserve"> za 63,2%</w:t>
      </w:r>
      <w:r>
        <w:rPr>
          <w:rFonts w:eastAsia="Calibri"/>
          <w:lang w:eastAsia="en-US"/>
        </w:rPr>
        <w:t xml:space="preserve">. Na povećanje su najvećim dijelom utjecali troškovi sudskih postupaka u iznosu od </w:t>
      </w:r>
      <w:r w:rsidRPr="00BE6091">
        <w:rPr>
          <w:rFonts w:eastAsia="Calibri"/>
          <w:lang w:eastAsia="en-US"/>
        </w:rPr>
        <w:t>21.452.827</w:t>
      </w:r>
      <w:r>
        <w:rPr>
          <w:rFonts w:eastAsia="Calibri"/>
          <w:lang w:eastAsia="en-US"/>
        </w:rPr>
        <w:t xml:space="preserve"> kn koji se odnose na </w:t>
      </w:r>
      <w:r w:rsidRPr="007677A4">
        <w:rPr>
          <w:rFonts w:eastAsia="Calibri"/>
          <w:lang w:eastAsia="en-US"/>
        </w:rPr>
        <w:t xml:space="preserve">izvršenje arbitražnog pravorijeka u arbitražnom sporu pred Međunarodnim centrom za rješavanje investicijskih sporova u Washingtonu (ICSID predmet ARB15/5), u kojem je Republici Hrvatskoj naloženo nadoknaditi troškove postupka tužitelju B3 Croatian </w:t>
      </w:r>
      <w:proofErr w:type="spellStart"/>
      <w:r w:rsidRPr="007677A4">
        <w:rPr>
          <w:rFonts w:eastAsia="Calibri"/>
          <w:lang w:eastAsia="en-US"/>
        </w:rPr>
        <w:t>Couruer</w:t>
      </w:r>
      <w:proofErr w:type="spellEnd"/>
      <w:r w:rsidRPr="007677A4">
        <w:rPr>
          <w:rFonts w:eastAsia="Calibri"/>
          <w:lang w:eastAsia="en-US"/>
        </w:rPr>
        <w:t xml:space="preserve"> </w:t>
      </w:r>
      <w:proofErr w:type="spellStart"/>
      <w:r w:rsidRPr="007677A4">
        <w:rPr>
          <w:rFonts w:eastAsia="Calibri"/>
          <w:lang w:eastAsia="en-US"/>
        </w:rPr>
        <w:t>Coopera</w:t>
      </w:r>
      <w:r>
        <w:rPr>
          <w:rFonts w:eastAsia="Calibri"/>
          <w:lang w:eastAsia="en-US"/>
        </w:rPr>
        <w:t>tief</w:t>
      </w:r>
      <w:proofErr w:type="spellEnd"/>
      <w:r>
        <w:rPr>
          <w:rFonts w:eastAsia="Calibri"/>
          <w:lang w:eastAsia="en-US"/>
        </w:rPr>
        <w:t xml:space="preserve"> U.A. u iznosu od 554.616</w:t>
      </w:r>
      <w:r w:rsidRPr="007677A4">
        <w:rPr>
          <w:rFonts w:eastAsia="Calibri"/>
          <w:lang w:eastAsia="en-US"/>
        </w:rPr>
        <w:t xml:space="preserve"> USD i 3.659.607 EUR. Na temelju dopisa Državnog odvjetništva Republike Hrvatske od 5. prosinca 2019., plaćanje troškova postupka treba izvršiti Ministarstvo mora, prometa i in</w:t>
      </w:r>
      <w:r>
        <w:rPr>
          <w:rFonts w:eastAsia="Calibri"/>
          <w:lang w:eastAsia="en-US"/>
        </w:rPr>
        <w:t xml:space="preserve">frastrukture </w:t>
      </w:r>
      <w:r w:rsidR="001418EC">
        <w:rPr>
          <w:rFonts w:eastAsia="Calibri"/>
          <w:lang w:eastAsia="en-US"/>
        </w:rPr>
        <w:t xml:space="preserve">(dalje: MMPI) </w:t>
      </w:r>
      <w:r>
        <w:rPr>
          <w:rFonts w:eastAsia="Calibri"/>
          <w:lang w:eastAsia="en-US"/>
        </w:rPr>
        <w:t>u iznosu 554.616</w:t>
      </w:r>
      <w:r w:rsidRPr="007677A4">
        <w:rPr>
          <w:rFonts w:eastAsia="Calibri"/>
          <w:lang w:eastAsia="en-US"/>
        </w:rPr>
        <w:t xml:space="preserve"> USD te 840.600 EUR, dok </w:t>
      </w:r>
      <w:r>
        <w:rPr>
          <w:rFonts w:eastAsia="Calibri"/>
          <w:lang w:eastAsia="en-US"/>
        </w:rPr>
        <w:t>HAKOM</w:t>
      </w:r>
      <w:r w:rsidRPr="007677A4">
        <w:rPr>
          <w:rFonts w:eastAsia="Calibri"/>
          <w:lang w:eastAsia="en-US"/>
        </w:rPr>
        <w:t xml:space="preserve"> treba platiti 2.819.007 EUR kao drugo tijelo iz čijeg je djelokruga proizašao predmetni arbitražni spor (zbog postupanja u području poštanskih usluga u razdoblju 2012. - 2014.). Sporazumom između </w:t>
      </w:r>
      <w:r>
        <w:rPr>
          <w:rFonts w:eastAsia="Calibri"/>
          <w:lang w:eastAsia="en-US"/>
        </w:rPr>
        <w:t>HAKOM-a</w:t>
      </w:r>
      <w:r w:rsidRPr="007677A4">
        <w:rPr>
          <w:rFonts w:eastAsia="Calibri"/>
          <w:lang w:eastAsia="en-US"/>
        </w:rPr>
        <w:t xml:space="preserve"> i </w:t>
      </w:r>
      <w:r w:rsidR="001418EC">
        <w:rPr>
          <w:rFonts w:eastAsia="Calibri"/>
          <w:lang w:eastAsia="en-US"/>
        </w:rPr>
        <w:t>MMPI-a</w:t>
      </w:r>
      <w:r w:rsidRPr="007677A4">
        <w:rPr>
          <w:rFonts w:eastAsia="Calibri"/>
          <w:lang w:eastAsia="en-US"/>
        </w:rPr>
        <w:t>, zaključenim 16. siječnja 2020., u vezi s izvršenjem obveza temeljem navedenog arbitražnog pravorijeka, utvrđeno je da je navedeno Ministarstvo platilo iznos 10.000.000,00 kn (što predst</w:t>
      </w:r>
      <w:r>
        <w:rPr>
          <w:rFonts w:eastAsia="Calibri"/>
          <w:lang w:eastAsia="en-US"/>
        </w:rPr>
        <w:t>avlja protuvrijednost 554.616</w:t>
      </w:r>
      <w:r w:rsidRPr="007677A4">
        <w:rPr>
          <w:rFonts w:eastAsia="Calibri"/>
          <w:lang w:eastAsia="en-US"/>
        </w:rPr>
        <w:t xml:space="preserve"> USD i 840.600 EUR), a </w:t>
      </w:r>
      <w:r>
        <w:rPr>
          <w:rFonts w:eastAsia="Calibri"/>
          <w:lang w:eastAsia="en-US"/>
        </w:rPr>
        <w:t>HAKOM</w:t>
      </w:r>
      <w:r w:rsidRPr="007677A4">
        <w:rPr>
          <w:rFonts w:eastAsia="Calibri"/>
          <w:lang w:eastAsia="en-US"/>
        </w:rPr>
        <w:t xml:space="preserve"> se obvez</w:t>
      </w:r>
      <w:r>
        <w:rPr>
          <w:rFonts w:eastAsia="Calibri"/>
          <w:lang w:eastAsia="en-US"/>
        </w:rPr>
        <w:t>ao</w:t>
      </w:r>
      <w:r w:rsidRPr="007677A4">
        <w:rPr>
          <w:rFonts w:eastAsia="Calibri"/>
          <w:lang w:eastAsia="en-US"/>
        </w:rPr>
        <w:t xml:space="preserve"> podmiriti preostale troškove arbitraže u iznosu 2.819.007 EUR. Sporazumom je utvrđeno da </w:t>
      </w:r>
      <w:r>
        <w:rPr>
          <w:rFonts w:eastAsia="Calibri"/>
          <w:lang w:eastAsia="en-US"/>
        </w:rPr>
        <w:t>HAKOM</w:t>
      </w:r>
      <w:r w:rsidRPr="007677A4">
        <w:rPr>
          <w:rFonts w:eastAsia="Calibri"/>
          <w:lang w:eastAsia="en-US"/>
        </w:rPr>
        <w:t xml:space="preserve"> za plaćanje svog dijela troškova arbitraže mora imati suglasnost Vlade Republike Hrvatske na opterećenje svoje imovine (prema odredbama Statuta </w:t>
      </w:r>
      <w:r>
        <w:rPr>
          <w:rFonts w:eastAsia="Calibri"/>
          <w:lang w:eastAsia="en-US"/>
        </w:rPr>
        <w:t>HAKOM-a</w:t>
      </w:r>
      <w:r w:rsidRPr="007677A4">
        <w:rPr>
          <w:rFonts w:eastAsia="Calibri"/>
          <w:lang w:eastAsia="en-US"/>
        </w:rPr>
        <w:t xml:space="preserve"> i članka 16. stavka 10. Zakona</w:t>
      </w:r>
      <w:r>
        <w:rPr>
          <w:rFonts w:eastAsia="Calibri"/>
          <w:lang w:eastAsia="en-US"/>
        </w:rPr>
        <w:t xml:space="preserve"> o elektroničkim komunikacijama; dalje: ZEK</w:t>
      </w:r>
      <w:r w:rsidRPr="007677A4">
        <w:rPr>
          <w:rFonts w:eastAsia="Calibri"/>
          <w:lang w:eastAsia="en-US"/>
        </w:rPr>
        <w:t xml:space="preserve">), treba donijeti izmjenu financijskog plana </w:t>
      </w:r>
      <w:r>
        <w:rPr>
          <w:rFonts w:eastAsia="Calibri"/>
          <w:lang w:eastAsia="en-US"/>
        </w:rPr>
        <w:t>HAKOM-a</w:t>
      </w:r>
      <w:r w:rsidRPr="007677A4">
        <w:rPr>
          <w:rFonts w:eastAsia="Calibri"/>
          <w:lang w:eastAsia="en-US"/>
        </w:rPr>
        <w:t xml:space="preserve"> za 2020. te temeljem odredbi članka 22. </w:t>
      </w:r>
      <w:r>
        <w:rPr>
          <w:rFonts w:eastAsia="Calibri"/>
          <w:lang w:eastAsia="en-US"/>
        </w:rPr>
        <w:t>ZEK-a</w:t>
      </w:r>
      <w:r w:rsidRPr="007677A4">
        <w:rPr>
          <w:rFonts w:eastAsia="Calibri"/>
          <w:lang w:eastAsia="en-US"/>
        </w:rPr>
        <w:t xml:space="preserve"> provesti javnu raspravu. Vlada Republike Hrvatske je, na sjednici održanoj 26. ožujka 2020., donijela Odluku o davanju prethodne suglasnosti predsjedniku Vijeća </w:t>
      </w:r>
      <w:r>
        <w:rPr>
          <w:rFonts w:eastAsia="Calibri"/>
          <w:lang w:eastAsia="en-US"/>
        </w:rPr>
        <w:t>HAKOM-a</w:t>
      </w:r>
      <w:r w:rsidRPr="007677A4">
        <w:rPr>
          <w:rFonts w:eastAsia="Calibri"/>
          <w:lang w:eastAsia="en-US"/>
        </w:rPr>
        <w:t xml:space="preserve"> za opterećenje imovine </w:t>
      </w:r>
      <w:r>
        <w:rPr>
          <w:rFonts w:eastAsia="Calibri"/>
          <w:lang w:eastAsia="en-US"/>
        </w:rPr>
        <w:t>HAKOM-a</w:t>
      </w:r>
      <w:r w:rsidRPr="007677A4">
        <w:rPr>
          <w:rFonts w:eastAsia="Calibri"/>
          <w:lang w:eastAsia="en-US"/>
        </w:rPr>
        <w:t xml:space="preserve">, kojom je dala prethodnu suglasnost predsjedniku Vijeća </w:t>
      </w:r>
      <w:r>
        <w:rPr>
          <w:rFonts w:eastAsia="Calibri"/>
          <w:lang w:eastAsia="en-US"/>
        </w:rPr>
        <w:t>HAKOM-a</w:t>
      </w:r>
      <w:r w:rsidRPr="007677A4">
        <w:rPr>
          <w:rFonts w:eastAsia="Calibri"/>
          <w:lang w:eastAsia="en-US"/>
        </w:rPr>
        <w:t xml:space="preserve"> za opterećenje imovine </w:t>
      </w:r>
      <w:r>
        <w:rPr>
          <w:rFonts w:eastAsia="Calibri"/>
          <w:lang w:eastAsia="en-US"/>
        </w:rPr>
        <w:t>HAKOM-a</w:t>
      </w:r>
      <w:r w:rsidRPr="007677A4">
        <w:rPr>
          <w:rFonts w:eastAsia="Calibri"/>
          <w:lang w:eastAsia="en-US"/>
        </w:rPr>
        <w:t xml:space="preserve"> u iznosu </w:t>
      </w:r>
      <w:r>
        <w:rPr>
          <w:rFonts w:eastAsia="Calibri"/>
          <w:lang w:eastAsia="en-US"/>
        </w:rPr>
        <w:t xml:space="preserve">od </w:t>
      </w:r>
      <w:r w:rsidRPr="007677A4">
        <w:rPr>
          <w:rFonts w:eastAsia="Calibri"/>
          <w:lang w:eastAsia="en-US"/>
        </w:rPr>
        <w:t>2.819.007 EUR, u kunskoj protuvrijednosti, a u sklad</w:t>
      </w:r>
      <w:r>
        <w:rPr>
          <w:rFonts w:eastAsia="Calibri"/>
          <w:lang w:eastAsia="en-US"/>
        </w:rPr>
        <w:t>u sa zahtjevom koji je dostavio</w:t>
      </w:r>
      <w:r w:rsidRPr="007677A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HAKOM</w:t>
      </w:r>
      <w:r w:rsidRPr="007677A4">
        <w:rPr>
          <w:rFonts w:eastAsia="Calibri"/>
          <w:lang w:eastAsia="en-US"/>
        </w:rPr>
        <w:t xml:space="preserve"> 21. veljače 2020. Na osnovu navedene Odluke, </w:t>
      </w:r>
      <w:r>
        <w:rPr>
          <w:rFonts w:eastAsia="Calibri"/>
          <w:lang w:eastAsia="en-US"/>
        </w:rPr>
        <w:t>HAKOM je, 27. ožujka 2020., podmirio</w:t>
      </w:r>
      <w:r w:rsidRPr="007677A4">
        <w:rPr>
          <w:rFonts w:eastAsia="Calibri"/>
          <w:lang w:eastAsia="en-US"/>
        </w:rPr>
        <w:t xml:space="preserve"> navedenu obvezu u cijelosti u kunskoj protuvrijednosti u iznosu </w:t>
      </w:r>
      <w:r>
        <w:rPr>
          <w:rFonts w:eastAsia="Calibri"/>
          <w:lang w:eastAsia="en-US"/>
        </w:rPr>
        <w:t xml:space="preserve">od </w:t>
      </w:r>
      <w:r w:rsidRPr="007677A4">
        <w:rPr>
          <w:rFonts w:eastAsia="Calibri"/>
          <w:lang w:eastAsia="en-US"/>
        </w:rPr>
        <w:t>21.452.827 kn.</w:t>
      </w:r>
    </w:p>
    <w:p w14:paraId="7B28D380" w14:textId="77777777" w:rsidR="00A65998" w:rsidRDefault="00A65998" w:rsidP="00A65998">
      <w:pPr>
        <w:jc w:val="both"/>
        <w:rPr>
          <w:rFonts w:eastAsia="Calibri"/>
          <w:lang w:eastAsia="en-US"/>
        </w:rPr>
      </w:pPr>
    </w:p>
    <w:p w14:paraId="5EFAE974" w14:textId="58D97CA7" w:rsidR="00103FB9" w:rsidRDefault="00A65998" w:rsidP="00A65998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 povećanje materijalnih rashoda je utjecalo i povećanje</w:t>
      </w:r>
      <w:r w:rsidRPr="00EE0A32">
        <w:rPr>
          <w:rFonts w:eastAsia="Calibri"/>
          <w:lang w:eastAsia="en-US"/>
        </w:rPr>
        <w:t xml:space="preserve"> </w:t>
      </w:r>
      <w:r w:rsidR="00613A45">
        <w:rPr>
          <w:rFonts w:eastAsia="Calibri"/>
          <w:lang w:eastAsia="en-US"/>
        </w:rPr>
        <w:t xml:space="preserve">rashoda za </w:t>
      </w:r>
      <w:r w:rsidRPr="00EE0A32">
        <w:rPr>
          <w:rFonts w:eastAsia="Calibri"/>
          <w:lang w:eastAsia="en-US"/>
        </w:rPr>
        <w:t>zdravstvene usluge</w:t>
      </w:r>
      <w:r>
        <w:rPr>
          <w:rFonts w:eastAsia="Calibri"/>
          <w:lang w:eastAsia="en-US"/>
        </w:rPr>
        <w:t xml:space="preserve"> (sistematski pregledi zaposlenika)</w:t>
      </w:r>
      <w:r w:rsidRPr="00EE0A32">
        <w:rPr>
          <w:rFonts w:eastAsia="Calibri"/>
          <w:lang w:eastAsia="en-US"/>
        </w:rPr>
        <w:t xml:space="preserve">, intelektualne i osobne </w:t>
      </w:r>
      <w:r w:rsidRPr="003072CA">
        <w:rPr>
          <w:rFonts w:eastAsia="Calibri"/>
          <w:lang w:eastAsia="en-US"/>
        </w:rPr>
        <w:t xml:space="preserve">usluge (projekt izračuna troškova i cijena usluga u nepokretnoj </w:t>
      </w:r>
      <w:r w:rsidRPr="00AB633E">
        <w:rPr>
          <w:rFonts w:eastAsia="Calibri"/>
          <w:lang w:eastAsia="en-US"/>
        </w:rPr>
        <w:t>mreži, usluge savjetovanja</w:t>
      </w:r>
      <w:r w:rsidR="00A9181A">
        <w:rPr>
          <w:rFonts w:eastAsia="Calibri"/>
          <w:lang w:eastAsia="en-US"/>
        </w:rPr>
        <w:t xml:space="preserve"> – </w:t>
      </w:r>
      <w:r w:rsidRPr="00AB633E">
        <w:rPr>
          <w:rFonts w:eastAsia="Calibri"/>
          <w:lang w:eastAsia="en-US"/>
        </w:rPr>
        <w:t>pružanje</w:t>
      </w:r>
      <w:r w:rsidR="00A9181A">
        <w:rPr>
          <w:rFonts w:eastAsia="Calibri"/>
          <w:lang w:eastAsia="en-US"/>
        </w:rPr>
        <w:t xml:space="preserve"> </w:t>
      </w:r>
      <w:r w:rsidRPr="00AB633E">
        <w:rPr>
          <w:rFonts w:eastAsia="Calibri"/>
          <w:lang w:eastAsia="en-US"/>
        </w:rPr>
        <w:t>regulatornih informacija</w:t>
      </w:r>
      <w:r w:rsidR="005A2030" w:rsidRPr="00AB633E">
        <w:rPr>
          <w:rFonts w:eastAsia="Calibri"/>
          <w:lang w:eastAsia="en-US"/>
        </w:rPr>
        <w:t>, usluga</w:t>
      </w:r>
      <w:r w:rsidR="005A2030" w:rsidRPr="005A2030">
        <w:rPr>
          <w:rFonts w:eastAsia="Calibri"/>
          <w:lang w:eastAsia="en-US"/>
        </w:rPr>
        <w:t xml:space="preserve"> provjere ispravnosti izračuna neto troška davatelja univerzalne usluge</w:t>
      </w:r>
      <w:r w:rsidR="00B527D1">
        <w:rPr>
          <w:rFonts w:eastAsia="Calibri"/>
          <w:lang w:eastAsia="en-US"/>
        </w:rPr>
        <w:t>, u</w:t>
      </w:r>
      <w:r w:rsidR="00B527D1" w:rsidRPr="00B527D1">
        <w:rPr>
          <w:rFonts w:eastAsia="Calibri"/>
          <w:lang w:eastAsia="en-US"/>
        </w:rPr>
        <w:t>sluga upravljanja poslovnim procesima</w:t>
      </w:r>
      <w:r w:rsidR="00EA6DE2">
        <w:rPr>
          <w:rFonts w:eastAsia="Calibri"/>
          <w:lang w:eastAsia="en-US"/>
        </w:rPr>
        <w:t xml:space="preserve"> i dr.</w:t>
      </w:r>
      <w:r w:rsidR="00613A45" w:rsidRPr="005A2030">
        <w:rPr>
          <w:rFonts w:eastAsia="Calibri"/>
          <w:lang w:eastAsia="en-US"/>
        </w:rPr>
        <w:t>) te stručno</w:t>
      </w:r>
      <w:r w:rsidR="00613A45" w:rsidRPr="00613A45">
        <w:rPr>
          <w:rFonts w:eastAsia="Calibri"/>
          <w:lang w:eastAsia="en-US"/>
        </w:rPr>
        <w:t xml:space="preserve"> usavršavanje zaposlenika</w:t>
      </w:r>
      <w:r w:rsidR="00C75A0F">
        <w:rPr>
          <w:rFonts w:eastAsia="Calibri"/>
          <w:lang w:eastAsia="en-US"/>
        </w:rPr>
        <w:t>.</w:t>
      </w:r>
    </w:p>
    <w:p w14:paraId="3001A3F5" w14:textId="2EBB1042" w:rsidR="0039311C" w:rsidRDefault="00006B58" w:rsidP="00A65998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Z</w:t>
      </w:r>
      <w:r w:rsidRPr="0039311C">
        <w:rPr>
          <w:rFonts w:eastAsia="Calibri"/>
          <w:lang w:eastAsia="en-US"/>
        </w:rPr>
        <w:t>bog krize uzrokovane virusom COVID-19</w:t>
      </w:r>
      <w:r>
        <w:rPr>
          <w:rFonts w:eastAsia="Calibri"/>
          <w:lang w:eastAsia="en-US"/>
        </w:rPr>
        <w:t>, z</w:t>
      </w:r>
      <w:r w:rsidR="0039311C">
        <w:rPr>
          <w:rFonts w:eastAsia="Calibri"/>
          <w:lang w:eastAsia="en-US"/>
        </w:rPr>
        <w:t>načajno su smanjeni troškovi službenih putovanja (za 77,9%)</w:t>
      </w:r>
      <w:r w:rsidR="00FB12CA">
        <w:rPr>
          <w:rFonts w:eastAsia="Calibri"/>
          <w:lang w:eastAsia="en-US"/>
        </w:rPr>
        <w:t xml:space="preserve">, kao i troškovi reprezentacije </w:t>
      </w:r>
      <w:r w:rsidR="00103FB9">
        <w:rPr>
          <w:rFonts w:eastAsia="Calibri"/>
          <w:lang w:eastAsia="en-US"/>
        </w:rPr>
        <w:t xml:space="preserve">(za 53,4%) </w:t>
      </w:r>
      <w:r w:rsidR="00FB12CA">
        <w:rPr>
          <w:rFonts w:eastAsia="Calibri"/>
          <w:lang w:eastAsia="en-US"/>
        </w:rPr>
        <w:t xml:space="preserve">jer se većina </w:t>
      </w:r>
      <w:r>
        <w:rPr>
          <w:rFonts w:eastAsia="Calibri"/>
          <w:lang w:eastAsia="en-US"/>
        </w:rPr>
        <w:t xml:space="preserve">planiranih strateških </w:t>
      </w:r>
      <w:r w:rsidR="00FB12CA">
        <w:rPr>
          <w:rFonts w:eastAsia="Calibri"/>
          <w:lang w:eastAsia="en-US"/>
        </w:rPr>
        <w:t xml:space="preserve">sastanaka </w:t>
      </w:r>
      <w:r>
        <w:rPr>
          <w:rFonts w:eastAsia="Calibri"/>
          <w:lang w:eastAsia="en-US"/>
        </w:rPr>
        <w:t>nije održala</w:t>
      </w:r>
      <w:r w:rsidR="00FB12CA">
        <w:rPr>
          <w:rFonts w:eastAsia="Calibri"/>
          <w:lang w:eastAsia="en-US"/>
        </w:rPr>
        <w:t>.</w:t>
      </w:r>
    </w:p>
    <w:p w14:paraId="5A6203DA" w14:textId="77777777" w:rsidR="00A65998" w:rsidRDefault="00A65998" w:rsidP="00A65998">
      <w:pPr>
        <w:jc w:val="center"/>
      </w:pPr>
      <w:r>
        <w:t>Bilješka 7.</w:t>
      </w:r>
    </w:p>
    <w:p w14:paraId="7D3A96C9" w14:textId="77777777" w:rsidR="00A65998" w:rsidRDefault="00A65998" w:rsidP="00A65998">
      <w:pPr>
        <w:jc w:val="center"/>
      </w:pPr>
      <w:r>
        <w:t>AOP 193 Financijski rashodi</w:t>
      </w:r>
    </w:p>
    <w:p w14:paraId="4BB79FFE" w14:textId="71C8F4F0" w:rsidR="00A65998" w:rsidRDefault="00A65998" w:rsidP="00A65998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Financijski rashodi su </w:t>
      </w:r>
      <w:r w:rsidRPr="00EE0A32">
        <w:rPr>
          <w:rFonts w:eastAsia="Calibri"/>
          <w:lang w:eastAsia="en-US"/>
        </w:rPr>
        <w:t xml:space="preserve">u promatranom razdoblju ostvareni u iznosu od </w:t>
      </w:r>
      <w:r w:rsidR="00DD0F42" w:rsidRPr="00DD0F42">
        <w:rPr>
          <w:rFonts w:eastAsia="Calibri"/>
          <w:lang w:eastAsia="en-US"/>
        </w:rPr>
        <w:t>197.165</w:t>
      </w:r>
      <w:r w:rsidRPr="00EE0A32">
        <w:rPr>
          <w:rFonts w:eastAsia="Calibri"/>
          <w:lang w:eastAsia="en-US"/>
        </w:rPr>
        <w:t xml:space="preserve"> kn, što predstavlja povećanje u odnosu na ostvarenje u promatranom razdoblju prethodne godine.</w:t>
      </w:r>
      <w:r>
        <w:rPr>
          <w:rFonts w:eastAsia="Calibri"/>
          <w:lang w:eastAsia="en-US"/>
        </w:rPr>
        <w:t xml:space="preserve"> Najznačajniji utjecaj na povećanje navedenih rashoda imalo je povećanje negativnih tečajnih razlika što je vezano uz plaćanje troškova sudskih postupaka u iznosu od </w:t>
      </w:r>
      <w:r w:rsidRPr="00EE0A32">
        <w:rPr>
          <w:rFonts w:eastAsia="Calibri"/>
          <w:lang w:eastAsia="en-US"/>
        </w:rPr>
        <w:t>2.81</w:t>
      </w:r>
      <w:r>
        <w:rPr>
          <w:rFonts w:eastAsia="Calibri"/>
          <w:lang w:eastAsia="en-US"/>
        </w:rPr>
        <w:t xml:space="preserve">9.007 EUR </w:t>
      </w:r>
      <w:r w:rsidRPr="00EE0A32">
        <w:rPr>
          <w:rFonts w:eastAsia="Calibri"/>
          <w:lang w:eastAsia="en-US"/>
        </w:rPr>
        <w:t>u kunskoj protuvrijednosti</w:t>
      </w:r>
      <w:r>
        <w:rPr>
          <w:rFonts w:eastAsia="Calibri"/>
          <w:lang w:eastAsia="en-US"/>
        </w:rPr>
        <w:t>.</w:t>
      </w:r>
      <w:r w:rsidR="00DD0F42">
        <w:rPr>
          <w:rFonts w:eastAsia="Calibri"/>
          <w:lang w:eastAsia="en-US"/>
        </w:rPr>
        <w:t xml:space="preserve"> </w:t>
      </w:r>
    </w:p>
    <w:p w14:paraId="5E81C098" w14:textId="77777777" w:rsidR="00A65998" w:rsidRDefault="00A65998" w:rsidP="00A65998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32C66195" w14:textId="77777777" w:rsidR="00A65998" w:rsidRDefault="00A65998" w:rsidP="00A65998">
      <w:pPr>
        <w:jc w:val="center"/>
      </w:pPr>
      <w:r>
        <w:t>Bilješka 8.</w:t>
      </w:r>
    </w:p>
    <w:p w14:paraId="7F9A6D36" w14:textId="77777777" w:rsidR="00A65998" w:rsidRDefault="00A65998" w:rsidP="00A65998">
      <w:pPr>
        <w:jc w:val="center"/>
      </w:pPr>
      <w:r>
        <w:t>AOP 317 Prihodi od prodaje prijevoznih sredstava</w:t>
      </w:r>
    </w:p>
    <w:p w14:paraId="625CB9E2" w14:textId="77777777" w:rsidR="00A65998" w:rsidRDefault="00A65998" w:rsidP="00A65998">
      <w:pPr>
        <w:jc w:val="both"/>
      </w:pPr>
      <w:r>
        <w:t xml:space="preserve">Prihodi od prodaje prijevoznih sredstava su ostvareni u iznosu od 437.075 kn koji su ostvareni </w:t>
      </w:r>
      <w:r w:rsidRPr="00EE0A32">
        <w:t>uslijed prodaje</w:t>
      </w:r>
      <w:r>
        <w:t xml:space="preserve"> devet službenih vozila HAKOM-a starijih od 8 godina. </w:t>
      </w:r>
      <w:r w:rsidRPr="00F371F9">
        <w:t xml:space="preserve">Prodaja službenih vozila </w:t>
      </w:r>
      <w:r>
        <w:t>je obavljena</w:t>
      </w:r>
      <w:r w:rsidRPr="00F371F9">
        <w:t xml:space="preserve"> provedbom javnog natječaja o prodaji službenih vozila.</w:t>
      </w:r>
      <w:r>
        <w:t xml:space="preserve"> </w:t>
      </w:r>
      <w:r w:rsidRPr="00F371F9">
        <w:t xml:space="preserve">Službena vozila </w:t>
      </w:r>
      <w:r>
        <w:t xml:space="preserve">su prodana </w:t>
      </w:r>
      <w:r w:rsidRPr="00F371F9">
        <w:t>putem prikupl</w:t>
      </w:r>
      <w:r>
        <w:t>janja zatvorenih pisanih ponuda, a</w:t>
      </w:r>
      <w:r w:rsidRPr="00F371F9">
        <w:t xml:space="preserve"> </w:t>
      </w:r>
      <w:r>
        <w:t>k</w:t>
      </w:r>
      <w:r w:rsidRPr="00F371F9">
        <w:t xml:space="preserve">riterij za odabir ponude je </w:t>
      </w:r>
      <w:r>
        <w:t xml:space="preserve">bila </w:t>
      </w:r>
      <w:r w:rsidRPr="00F371F9">
        <w:t>najviša ponuđena kupoprodajna cijena.</w:t>
      </w:r>
    </w:p>
    <w:p w14:paraId="1A540A51" w14:textId="77777777" w:rsidR="00A65998" w:rsidRDefault="00A65998" w:rsidP="00A65998">
      <w:pPr>
        <w:jc w:val="both"/>
      </w:pPr>
    </w:p>
    <w:p w14:paraId="251C7887" w14:textId="77777777" w:rsidR="00A65998" w:rsidRDefault="00A65998" w:rsidP="00A65998">
      <w:pPr>
        <w:jc w:val="center"/>
      </w:pPr>
      <w:r>
        <w:t>Bilješka 9.</w:t>
      </w:r>
    </w:p>
    <w:p w14:paraId="5048A83C" w14:textId="77777777" w:rsidR="00A65998" w:rsidRDefault="00A65998" w:rsidP="00A65998">
      <w:pPr>
        <w:jc w:val="center"/>
      </w:pPr>
      <w:r>
        <w:t>AOP 341 Rashodi za nabavu nefinancijske imovine</w:t>
      </w:r>
    </w:p>
    <w:p w14:paraId="0E6AF3CC" w14:textId="21E0287B" w:rsidR="00A65998" w:rsidRDefault="00A65998" w:rsidP="00A65998">
      <w:pPr>
        <w:jc w:val="both"/>
      </w:pPr>
      <w:r>
        <w:t>Rashodi</w:t>
      </w:r>
      <w:r w:rsidRPr="004B3C38">
        <w:t xml:space="preserve"> </w:t>
      </w:r>
      <w:r>
        <w:t>za nabavu</w:t>
      </w:r>
      <w:r w:rsidRPr="004B3C38">
        <w:t xml:space="preserve"> </w:t>
      </w:r>
      <w:r>
        <w:t>nefinancijske</w:t>
      </w:r>
      <w:r w:rsidRPr="004B3C38">
        <w:t xml:space="preserve"> </w:t>
      </w:r>
      <w:r>
        <w:t>imovine</w:t>
      </w:r>
      <w:r w:rsidRPr="004B3C38">
        <w:t xml:space="preserve"> su ostvareni u iznosu od </w:t>
      </w:r>
      <w:r w:rsidR="00B5336D" w:rsidRPr="00B5336D">
        <w:t>7.624.840</w:t>
      </w:r>
      <w:r w:rsidRPr="004B3C38">
        <w:t xml:space="preserve"> kn </w:t>
      </w:r>
      <w:r>
        <w:t xml:space="preserve">te se najvećim dijelom odnose na </w:t>
      </w:r>
      <w:r w:rsidR="00F73C9A">
        <w:t>rashode</w:t>
      </w:r>
      <w:r w:rsidR="00F73C9A" w:rsidRPr="00B5336D">
        <w:t xml:space="preserve"> za nabavu mjernih instrumenata i uređaja</w:t>
      </w:r>
      <w:r w:rsidR="00F73C9A">
        <w:t xml:space="preserve"> te prijenosnog sustava </w:t>
      </w:r>
      <w:r w:rsidR="00F73C9A" w:rsidRPr="00330E24">
        <w:t xml:space="preserve">za kontrolu i analizu u mrežama </w:t>
      </w:r>
      <w:r w:rsidR="00F73C9A">
        <w:t>pokretnih komunikacija,</w:t>
      </w:r>
      <w:r w:rsidR="00F73C9A" w:rsidRPr="00D627B2">
        <w:t xml:space="preserve"> </w:t>
      </w:r>
      <w:r w:rsidRPr="00D627B2">
        <w:t>rashod</w:t>
      </w:r>
      <w:r>
        <w:t>e</w:t>
      </w:r>
      <w:r w:rsidRPr="00D627B2">
        <w:t xml:space="preserve"> za nabavu prijevoznih sred</w:t>
      </w:r>
      <w:r>
        <w:t>stava u cestovnom prometu (</w:t>
      </w:r>
      <w:r w:rsidRPr="00D627B2">
        <w:t xml:space="preserve">kupljeno </w:t>
      </w:r>
      <w:r w:rsidR="00B5336D">
        <w:t xml:space="preserve">je sedam novih službenih vozila) te </w:t>
      </w:r>
      <w:r w:rsidRPr="00D627B2">
        <w:t>rashod</w:t>
      </w:r>
      <w:r>
        <w:t>e</w:t>
      </w:r>
      <w:r w:rsidRPr="00D627B2">
        <w:t xml:space="preserve"> za dodatna ulaganja z</w:t>
      </w:r>
      <w:r>
        <w:t>a ostalu nefinancijsku imovinu (</w:t>
      </w:r>
      <w:r w:rsidRPr="00D627B2">
        <w:t xml:space="preserve">nadogradnja </w:t>
      </w:r>
      <w:proofErr w:type="spellStart"/>
      <w:r w:rsidRPr="00D627B2">
        <w:t>Centrix</w:t>
      </w:r>
      <w:proofErr w:type="spellEnd"/>
      <w:r w:rsidRPr="00D627B2">
        <w:t xml:space="preserve"> sustava</w:t>
      </w:r>
      <w:r w:rsidR="001410D6">
        <w:t>,</w:t>
      </w:r>
      <w:r w:rsidR="001410D6" w:rsidRPr="001410D6">
        <w:t xml:space="preserve"> </w:t>
      </w:r>
      <w:r w:rsidR="001410D6">
        <w:t>GIS sustava</w:t>
      </w:r>
      <w:r w:rsidR="00956C19">
        <w:t xml:space="preserve"> i portala</w:t>
      </w:r>
      <w:r w:rsidR="009F2E1F">
        <w:t>, sustava za analizu tržišta</w:t>
      </w:r>
      <w:r w:rsidR="0031736F">
        <w:t>, e-Račun servisa</w:t>
      </w:r>
      <w:r w:rsidR="0075691E">
        <w:t>, web portala</w:t>
      </w:r>
      <w:r w:rsidR="00661B01">
        <w:t>,</w:t>
      </w:r>
      <w:r w:rsidRPr="00D627B2">
        <w:t xml:space="preserve"> sustava IP telefonske centrale</w:t>
      </w:r>
      <w:r w:rsidR="00661B01">
        <w:t xml:space="preserve"> i dr.</w:t>
      </w:r>
      <w:r>
        <w:t>)</w:t>
      </w:r>
      <w:r w:rsidRPr="00D627B2">
        <w:t>.</w:t>
      </w:r>
      <w:r w:rsidR="00B5336D">
        <w:t xml:space="preserve"> </w:t>
      </w:r>
    </w:p>
    <w:p w14:paraId="5FCE7DDD" w14:textId="77777777" w:rsidR="00B77742" w:rsidRDefault="00B77742" w:rsidP="00A65998">
      <w:pPr>
        <w:jc w:val="both"/>
      </w:pPr>
    </w:p>
    <w:p w14:paraId="38177F19" w14:textId="77777777" w:rsidR="00A65998" w:rsidRDefault="00A65998" w:rsidP="00A65998">
      <w:pPr>
        <w:jc w:val="both"/>
      </w:pPr>
    </w:p>
    <w:p w14:paraId="4E6B506C" w14:textId="7DD65191" w:rsidR="00961B70" w:rsidRPr="00BC4466" w:rsidRDefault="00961B70" w:rsidP="00961B70">
      <w:pPr>
        <w:numPr>
          <w:ilvl w:val="0"/>
          <w:numId w:val="11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BILJEŠKE UZ BILANCU</w:t>
      </w:r>
      <w:r w:rsidRPr="000E7D95">
        <w:rPr>
          <w:rFonts w:eastAsia="Calibri"/>
          <w:b/>
          <w:lang w:eastAsia="en-US"/>
        </w:rPr>
        <w:t xml:space="preserve"> (OBRAZAC </w:t>
      </w:r>
      <w:r>
        <w:rPr>
          <w:rFonts w:eastAsia="Calibri"/>
          <w:b/>
          <w:lang w:eastAsia="en-US"/>
        </w:rPr>
        <w:t>BIL</w:t>
      </w:r>
      <w:r w:rsidRPr="000E7D95">
        <w:rPr>
          <w:rFonts w:eastAsia="Calibri"/>
          <w:b/>
          <w:lang w:eastAsia="en-US"/>
        </w:rPr>
        <w:t xml:space="preserve">)   </w:t>
      </w:r>
    </w:p>
    <w:p w14:paraId="05F92FB5" w14:textId="77777777" w:rsidR="00961B70" w:rsidRPr="000E7D95" w:rsidRDefault="00961B70" w:rsidP="00961B70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43A7D885" w14:textId="77777777" w:rsidR="00961B70" w:rsidRPr="00135061" w:rsidRDefault="00961B70" w:rsidP="00961B70">
      <w:pPr>
        <w:jc w:val="center"/>
      </w:pPr>
      <w:r w:rsidRPr="00135061">
        <w:t>Bilješka 10.</w:t>
      </w:r>
    </w:p>
    <w:p w14:paraId="26396DF0" w14:textId="480910A5" w:rsidR="00135061" w:rsidRDefault="00135061" w:rsidP="00135061">
      <w:pPr>
        <w:jc w:val="center"/>
      </w:pPr>
      <w:r>
        <w:t xml:space="preserve">AOP 003 </w:t>
      </w:r>
      <w:r w:rsidRPr="00135061">
        <w:t>N</w:t>
      </w:r>
      <w:r>
        <w:t>eproizvedena dugotrajna imovina</w:t>
      </w:r>
    </w:p>
    <w:p w14:paraId="644DAB01" w14:textId="77777777" w:rsidR="00000CB3" w:rsidRDefault="00E53520" w:rsidP="00000CB3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135061">
        <w:rPr>
          <w:rFonts w:eastAsia="Calibri"/>
          <w:lang w:eastAsia="en-US"/>
        </w:rPr>
        <w:t xml:space="preserve">Smanjenje </w:t>
      </w:r>
      <w:r w:rsidR="0013500D">
        <w:rPr>
          <w:rFonts w:eastAsia="Calibri"/>
          <w:lang w:eastAsia="en-US"/>
        </w:rPr>
        <w:t>neproizvedene dugotrajne</w:t>
      </w:r>
      <w:r w:rsidRPr="00135061">
        <w:rPr>
          <w:rFonts w:eastAsia="Calibri"/>
          <w:lang w:eastAsia="en-US"/>
        </w:rPr>
        <w:t xml:space="preserve"> imovine je rezultat obračunatog ispravka vrijednosti za 20</w:t>
      </w:r>
      <w:r w:rsidR="0013500D">
        <w:rPr>
          <w:rFonts w:eastAsia="Calibri"/>
          <w:lang w:eastAsia="en-US"/>
        </w:rPr>
        <w:t>20</w:t>
      </w:r>
      <w:r w:rsidRPr="00135061">
        <w:rPr>
          <w:rFonts w:eastAsia="Calibri"/>
          <w:lang w:eastAsia="en-US"/>
        </w:rPr>
        <w:t>.</w:t>
      </w:r>
    </w:p>
    <w:p w14:paraId="3CB6F54B" w14:textId="12A620C7" w:rsidR="0013500D" w:rsidRDefault="00E53520" w:rsidP="00000CB3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135061">
        <w:rPr>
          <w:rFonts w:eastAsia="Calibri"/>
          <w:lang w:eastAsia="en-US"/>
        </w:rPr>
        <w:t xml:space="preserve"> </w:t>
      </w:r>
    </w:p>
    <w:p w14:paraId="720F663D" w14:textId="27CE2409" w:rsidR="00000CB3" w:rsidRPr="00135061" w:rsidRDefault="00000CB3" w:rsidP="00000CB3">
      <w:pPr>
        <w:jc w:val="center"/>
      </w:pPr>
      <w:r w:rsidRPr="00135061">
        <w:t>Bilješka 1</w:t>
      </w:r>
      <w:r>
        <w:t>1</w:t>
      </w:r>
      <w:r w:rsidRPr="00135061">
        <w:t>.</w:t>
      </w:r>
    </w:p>
    <w:p w14:paraId="53D2306A" w14:textId="377E1EA9" w:rsidR="00000CB3" w:rsidRDefault="00000CB3" w:rsidP="00000CB3">
      <w:pPr>
        <w:jc w:val="center"/>
      </w:pPr>
      <w:r>
        <w:t xml:space="preserve">AOP </w:t>
      </w:r>
      <w:r w:rsidR="009B433A">
        <w:t>007</w:t>
      </w:r>
      <w:r>
        <w:t xml:space="preserve"> </w:t>
      </w:r>
      <w:r w:rsidR="009B433A">
        <w:t>Proizvedena dugotrajna imovina</w:t>
      </w:r>
    </w:p>
    <w:p w14:paraId="10BECA49" w14:textId="36B1EA81" w:rsidR="0013500D" w:rsidRDefault="00C0572F" w:rsidP="00102D87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Povećanje</w:t>
      </w:r>
      <w:r w:rsidR="00000CB3" w:rsidRPr="00135061">
        <w:rPr>
          <w:rFonts w:eastAsia="Calibri"/>
          <w:lang w:eastAsia="en-US"/>
        </w:rPr>
        <w:t xml:space="preserve"> </w:t>
      </w:r>
      <w:r w:rsidR="00000CB3">
        <w:rPr>
          <w:rFonts w:eastAsia="Calibri"/>
          <w:lang w:eastAsia="en-US"/>
        </w:rPr>
        <w:t>proizvedene dugotrajne</w:t>
      </w:r>
      <w:r w:rsidR="00000CB3" w:rsidRPr="00135061">
        <w:rPr>
          <w:rFonts w:eastAsia="Calibri"/>
          <w:lang w:eastAsia="en-US"/>
        </w:rPr>
        <w:t xml:space="preserve"> imovine je rezultat </w:t>
      </w:r>
      <w:r w:rsidR="00E278F9">
        <w:rPr>
          <w:rFonts w:eastAsia="Calibri"/>
          <w:lang w:eastAsia="en-US"/>
        </w:rPr>
        <w:t xml:space="preserve">nabave računala i računalne opreme, pokretne komunikacijske opreme, opreme za održavanje i zaštitu, </w:t>
      </w:r>
      <w:r w:rsidR="00B23348">
        <w:rPr>
          <w:rFonts w:eastAsia="Calibri"/>
          <w:lang w:eastAsia="en-US"/>
        </w:rPr>
        <w:t xml:space="preserve">mjernih uređaja </w:t>
      </w:r>
      <w:r w:rsidR="00E278F9">
        <w:rPr>
          <w:rFonts w:eastAsia="Calibri"/>
          <w:lang w:eastAsia="en-US"/>
        </w:rPr>
        <w:t xml:space="preserve">i računalnih programa. </w:t>
      </w:r>
      <w:r w:rsidR="001F2467">
        <w:rPr>
          <w:rFonts w:eastAsia="Calibri"/>
          <w:lang w:eastAsia="en-US"/>
        </w:rPr>
        <w:t>Obračunat je ispravak vrijednosti za 2020.</w:t>
      </w:r>
    </w:p>
    <w:p w14:paraId="414871EF" w14:textId="77777777" w:rsidR="00102D87" w:rsidRDefault="00102D87" w:rsidP="00102D87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14ADDEC1" w14:textId="40B42E0F" w:rsidR="00102D87" w:rsidRPr="00135061" w:rsidRDefault="00102D87" w:rsidP="00102D87">
      <w:pPr>
        <w:jc w:val="center"/>
      </w:pPr>
      <w:r w:rsidRPr="00135061">
        <w:t>Bilješka 1</w:t>
      </w:r>
      <w:r>
        <w:t>2</w:t>
      </w:r>
      <w:r w:rsidRPr="00135061">
        <w:t>.</w:t>
      </w:r>
    </w:p>
    <w:p w14:paraId="6D475552" w14:textId="52E5B9C2" w:rsidR="00102D87" w:rsidRDefault="00102D87" w:rsidP="00102D87">
      <w:pPr>
        <w:jc w:val="center"/>
      </w:pPr>
      <w:r>
        <w:t>AOP 063 Financijska imovina</w:t>
      </w:r>
    </w:p>
    <w:p w14:paraId="1F7B86A4" w14:textId="43FFF3CB" w:rsidR="00102D87" w:rsidRDefault="00E53520" w:rsidP="00195F79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135061">
        <w:rPr>
          <w:rFonts w:eastAsia="Calibri"/>
          <w:lang w:eastAsia="en-US"/>
        </w:rPr>
        <w:t xml:space="preserve">Strukturu financijske imovine u ukupnom iznosu od </w:t>
      </w:r>
      <w:r w:rsidR="00102D87" w:rsidRPr="00102D87">
        <w:rPr>
          <w:rFonts w:eastAsia="Calibri"/>
          <w:lang w:eastAsia="en-US"/>
        </w:rPr>
        <w:t>58.800.649</w:t>
      </w:r>
      <w:r w:rsidRPr="00135061">
        <w:rPr>
          <w:rFonts w:eastAsia="Calibri"/>
          <w:lang w:eastAsia="en-US"/>
        </w:rPr>
        <w:t xml:space="preserve"> kn najvećim dijelom čini novac na računu kod tuzemnih poslovnih banaka u iznosu od </w:t>
      </w:r>
      <w:r w:rsidR="00102D87" w:rsidRPr="00102D87">
        <w:rPr>
          <w:rFonts w:eastAsia="Calibri"/>
          <w:lang w:eastAsia="en-US"/>
        </w:rPr>
        <w:t>30.917.311</w:t>
      </w:r>
      <w:r w:rsidRPr="00135061">
        <w:rPr>
          <w:rFonts w:eastAsia="Calibri"/>
          <w:lang w:eastAsia="en-US"/>
        </w:rPr>
        <w:t xml:space="preserve"> kn (AOP 067). </w:t>
      </w:r>
      <w:r w:rsidR="006079FC">
        <w:rPr>
          <w:rFonts w:eastAsia="Calibri"/>
          <w:lang w:eastAsia="en-US"/>
        </w:rPr>
        <w:t xml:space="preserve">Smanjenje novca na žiro-računu u odnosu na prethodno razdoblje rezultat je podmirenja troškova sudskih postupaka </w:t>
      </w:r>
      <w:r w:rsidR="00EA647A">
        <w:rPr>
          <w:rFonts w:eastAsia="Calibri"/>
          <w:lang w:eastAsia="en-US"/>
        </w:rPr>
        <w:t xml:space="preserve">u </w:t>
      </w:r>
      <w:r w:rsidR="00EA647A">
        <w:rPr>
          <w:rFonts w:eastAsia="Calibri"/>
          <w:lang w:eastAsia="en-US"/>
        </w:rPr>
        <w:lastRenderedPageBreak/>
        <w:t xml:space="preserve">2020. </w:t>
      </w:r>
      <w:r w:rsidR="006079FC">
        <w:rPr>
          <w:rFonts w:eastAsia="Calibri"/>
          <w:lang w:eastAsia="en-US"/>
        </w:rPr>
        <w:t xml:space="preserve">(veza Bilješka 6.). </w:t>
      </w:r>
      <w:r w:rsidRPr="00135061">
        <w:rPr>
          <w:rFonts w:eastAsia="Calibri"/>
          <w:lang w:eastAsia="en-US"/>
        </w:rPr>
        <w:t xml:space="preserve">Potraživanja za prihode poslovanja iznose </w:t>
      </w:r>
      <w:r w:rsidR="00102D87" w:rsidRPr="00102D87">
        <w:rPr>
          <w:rFonts w:eastAsia="Calibri"/>
          <w:lang w:eastAsia="en-US"/>
        </w:rPr>
        <w:t>24.066.811</w:t>
      </w:r>
      <w:r w:rsidRPr="00135061">
        <w:rPr>
          <w:rFonts w:eastAsia="Calibri"/>
          <w:lang w:eastAsia="en-US"/>
        </w:rPr>
        <w:t xml:space="preserve"> kn (AOP 14</w:t>
      </w:r>
      <w:r w:rsidR="00102D87">
        <w:rPr>
          <w:rFonts w:eastAsia="Calibri"/>
          <w:lang w:eastAsia="en-US"/>
        </w:rPr>
        <w:t>1</w:t>
      </w:r>
      <w:r w:rsidRPr="00135061">
        <w:rPr>
          <w:rFonts w:eastAsia="Calibri"/>
          <w:lang w:eastAsia="en-US"/>
        </w:rPr>
        <w:t xml:space="preserve">). Najznačajnija su potraživanja za prihode po posebnim propisima. </w:t>
      </w:r>
      <w:r w:rsidR="001B6130">
        <w:rPr>
          <w:rFonts w:eastAsia="Calibri"/>
          <w:lang w:eastAsia="en-US"/>
        </w:rPr>
        <w:t xml:space="preserve">Proveden je ispravak vrijednosti potraživanja sukladno </w:t>
      </w:r>
      <w:r w:rsidR="001B6130" w:rsidRPr="001B6130">
        <w:rPr>
          <w:rFonts w:eastAsia="Calibri"/>
          <w:lang w:eastAsia="en-US"/>
        </w:rPr>
        <w:t>Pravilnik</w:t>
      </w:r>
      <w:r w:rsidR="001B6130">
        <w:rPr>
          <w:rFonts w:eastAsia="Calibri"/>
          <w:lang w:eastAsia="en-US"/>
        </w:rPr>
        <w:t>u</w:t>
      </w:r>
      <w:r w:rsidR="001B6130" w:rsidRPr="001B6130">
        <w:rPr>
          <w:rFonts w:eastAsia="Calibri"/>
          <w:lang w:eastAsia="en-US"/>
        </w:rPr>
        <w:t xml:space="preserve"> </w:t>
      </w:r>
      <w:r w:rsidR="00201929">
        <w:rPr>
          <w:rFonts w:eastAsia="Calibri"/>
          <w:lang w:eastAsia="en-US"/>
        </w:rPr>
        <w:t>o proračunskom računovodstvu i R</w:t>
      </w:r>
      <w:r w:rsidR="001B6130" w:rsidRPr="001B6130">
        <w:rPr>
          <w:rFonts w:eastAsia="Calibri"/>
          <w:lang w:eastAsia="en-US"/>
        </w:rPr>
        <w:t>ačunskom planu</w:t>
      </w:r>
      <w:r w:rsidR="001B6130">
        <w:rPr>
          <w:rFonts w:eastAsia="Calibri"/>
          <w:lang w:eastAsia="en-US"/>
        </w:rPr>
        <w:t>.</w:t>
      </w:r>
    </w:p>
    <w:p w14:paraId="2AC79EA5" w14:textId="77777777" w:rsidR="00195F79" w:rsidRDefault="00195F79" w:rsidP="00195F79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454FF4B4" w14:textId="6090ABD3" w:rsidR="00195F79" w:rsidRPr="00135061" w:rsidRDefault="00195F79" w:rsidP="00195F79">
      <w:pPr>
        <w:jc w:val="center"/>
      </w:pPr>
      <w:r w:rsidRPr="00135061">
        <w:t>Bilješka 1</w:t>
      </w:r>
      <w:r>
        <w:t>3</w:t>
      </w:r>
      <w:r w:rsidRPr="00135061">
        <w:t>.</w:t>
      </w:r>
    </w:p>
    <w:p w14:paraId="00D00E51" w14:textId="76052187" w:rsidR="00102D87" w:rsidRPr="00195F79" w:rsidRDefault="00195F79" w:rsidP="00195F79">
      <w:pPr>
        <w:jc w:val="center"/>
      </w:pPr>
      <w:r>
        <w:t xml:space="preserve">AOP 164 </w:t>
      </w:r>
      <w:r w:rsidRPr="00195F79">
        <w:rPr>
          <w:rFonts w:eastAsia="Calibri"/>
          <w:lang w:eastAsia="en-US"/>
        </w:rPr>
        <w:t>Rashodi budućih razdobl</w:t>
      </w:r>
      <w:r>
        <w:rPr>
          <w:rFonts w:eastAsia="Calibri"/>
          <w:lang w:eastAsia="en-US"/>
        </w:rPr>
        <w:t>ja i nedospjela naplata prihoda</w:t>
      </w:r>
    </w:p>
    <w:p w14:paraId="48C1DAFE" w14:textId="1913B0C6" w:rsidR="00102D87" w:rsidRDefault="007D7B00" w:rsidP="00522B91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Unaprijed plaćeni rashodi budućih razdoblja u iznosu od 1.211.201 kn se odnose na </w:t>
      </w:r>
      <w:r w:rsidR="005451A9">
        <w:rPr>
          <w:rFonts w:eastAsia="Calibri"/>
          <w:lang w:eastAsia="en-US"/>
        </w:rPr>
        <w:t xml:space="preserve">premiju osiguranja imovine i vozila, članarinu IRG-a, </w:t>
      </w:r>
      <w:r w:rsidR="0003136C">
        <w:rPr>
          <w:rFonts w:eastAsia="Calibri"/>
          <w:lang w:eastAsia="en-US"/>
        </w:rPr>
        <w:t>pretplatu n</w:t>
      </w:r>
      <w:r w:rsidR="005451A9">
        <w:rPr>
          <w:rFonts w:eastAsia="Calibri"/>
          <w:lang w:eastAsia="en-US"/>
        </w:rPr>
        <w:t xml:space="preserve">a </w:t>
      </w:r>
      <w:r w:rsidR="009B3BA6">
        <w:rPr>
          <w:rFonts w:eastAsia="Calibri"/>
          <w:lang w:eastAsia="en-US"/>
        </w:rPr>
        <w:t>stručne časopise i</w:t>
      </w:r>
      <w:r w:rsidR="005451A9">
        <w:rPr>
          <w:rFonts w:eastAsia="Calibri"/>
          <w:lang w:eastAsia="en-US"/>
        </w:rPr>
        <w:t xml:space="preserve"> licence (</w:t>
      </w:r>
      <w:proofErr w:type="spellStart"/>
      <w:r w:rsidR="005451A9" w:rsidRPr="005451A9">
        <w:rPr>
          <w:rFonts w:eastAsia="Calibri"/>
          <w:lang w:eastAsia="en-US"/>
        </w:rPr>
        <w:t>Dynamic</w:t>
      </w:r>
      <w:proofErr w:type="spellEnd"/>
      <w:r w:rsidR="005451A9" w:rsidRPr="005451A9">
        <w:rPr>
          <w:rFonts w:eastAsia="Calibri"/>
          <w:lang w:eastAsia="en-US"/>
        </w:rPr>
        <w:t xml:space="preserve"> NAV</w:t>
      </w:r>
      <w:r w:rsidR="005451A9">
        <w:rPr>
          <w:rFonts w:eastAsia="Calibri"/>
          <w:lang w:eastAsia="en-US"/>
        </w:rPr>
        <w:t xml:space="preserve">, </w:t>
      </w:r>
      <w:proofErr w:type="spellStart"/>
      <w:r w:rsidR="005451A9" w:rsidRPr="005451A9">
        <w:rPr>
          <w:rFonts w:eastAsia="Calibri"/>
          <w:lang w:eastAsia="en-US"/>
        </w:rPr>
        <w:t>Nessus</w:t>
      </w:r>
      <w:proofErr w:type="spellEnd"/>
      <w:r w:rsidR="005451A9" w:rsidRPr="005451A9">
        <w:rPr>
          <w:rFonts w:eastAsia="Calibri"/>
          <w:lang w:eastAsia="en-US"/>
        </w:rPr>
        <w:t xml:space="preserve"> Professional</w:t>
      </w:r>
      <w:r w:rsidR="005451A9">
        <w:rPr>
          <w:rFonts w:eastAsia="Calibri"/>
          <w:lang w:eastAsia="en-US"/>
        </w:rPr>
        <w:t xml:space="preserve">, Microsoft, </w:t>
      </w:r>
      <w:proofErr w:type="spellStart"/>
      <w:r w:rsidR="005451A9" w:rsidRPr="005451A9">
        <w:rPr>
          <w:rFonts w:eastAsia="Calibri"/>
          <w:lang w:eastAsia="en-US"/>
        </w:rPr>
        <w:t>Cloud</w:t>
      </w:r>
      <w:proofErr w:type="spellEnd"/>
      <w:r w:rsidR="005451A9" w:rsidRPr="005451A9">
        <w:rPr>
          <w:rFonts w:eastAsia="Calibri"/>
          <w:lang w:eastAsia="en-US"/>
        </w:rPr>
        <w:t xml:space="preserve"> </w:t>
      </w:r>
      <w:proofErr w:type="spellStart"/>
      <w:r w:rsidR="005451A9" w:rsidRPr="005451A9">
        <w:rPr>
          <w:rFonts w:eastAsia="Calibri"/>
          <w:lang w:eastAsia="en-US"/>
        </w:rPr>
        <w:t>Meetings</w:t>
      </w:r>
      <w:proofErr w:type="spellEnd"/>
      <w:r w:rsidR="005451A9">
        <w:rPr>
          <w:rFonts w:eastAsia="Calibri"/>
          <w:lang w:eastAsia="en-US"/>
        </w:rPr>
        <w:t xml:space="preserve">, </w:t>
      </w:r>
      <w:r w:rsidR="005451A9" w:rsidRPr="005451A9">
        <w:rPr>
          <w:rFonts w:eastAsia="Calibri"/>
          <w:lang w:eastAsia="en-US"/>
        </w:rPr>
        <w:t xml:space="preserve">ARIS </w:t>
      </w:r>
      <w:proofErr w:type="spellStart"/>
      <w:r w:rsidR="005451A9" w:rsidRPr="005451A9">
        <w:rPr>
          <w:rFonts w:eastAsia="Calibri"/>
          <w:lang w:eastAsia="en-US"/>
        </w:rPr>
        <w:t>Cloud</w:t>
      </w:r>
      <w:proofErr w:type="spellEnd"/>
      <w:r w:rsidR="005451A9" w:rsidRPr="005451A9">
        <w:rPr>
          <w:rFonts w:eastAsia="Calibri"/>
          <w:lang w:eastAsia="en-US"/>
        </w:rPr>
        <w:t xml:space="preserve"> Advanced</w:t>
      </w:r>
      <w:r w:rsidR="005451A9">
        <w:rPr>
          <w:rFonts w:eastAsia="Calibri"/>
          <w:lang w:eastAsia="en-US"/>
        </w:rPr>
        <w:t>, Cisco i dr.).</w:t>
      </w:r>
    </w:p>
    <w:p w14:paraId="5EBCC641" w14:textId="77777777" w:rsidR="00522B91" w:rsidRDefault="00522B91" w:rsidP="00522B91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4D170B36" w14:textId="4C1A7B8C" w:rsidR="00522B91" w:rsidRPr="00135061" w:rsidRDefault="00522B91" w:rsidP="00522B91">
      <w:pPr>
        <w:jc w:val="center"/>
      </w:pPr>
      <w:r w:rsidRPr="00135061">
        <w:t>Bilješka 1</w:t>
      </w:r>
      <w:r>
        <w:t>4</w:t>
      </w:r>
      <w:r w:rsidRPr="00135061">
        <w:t>.</w:t>
      </w:r>
    </w:p>
    <w:p w14:paraId="77E53E3A" w14:textId="4C35B205" w:rsidR="00933F20" w:rsidRDefault="00522B91" w:rsidP="00933F20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t>AOP 16</w:t>
      </w:r>
      <w:r w:rsidR="00933F20">
        <w:t>9</w:t>
      </w:r>
      <w:r>
        <w:t xml:space="preserve"> </w:t>
      </w:r>
      <w:r w:rsidR="00933F20">
        <w:rPr>
          <w:rFonts w:eastAsia="Calibri"/>
          <w:lang w:eastAsia="en-US"/>
        </w:rPr>
        <w:t>Obveze</w:t>
      </w:r>
    </w:p>
    <w:p w14:paraId="57EB9359" w14:textId="038099A6" w:rsidR="003E39D1" w:rsidRDefault="00E53520" w:rsidP="00933F20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135061">
        <w:rPr>
          <w:rFonts w:eastAsia="Calibri"/>
          <w:lang w:eastAsia="en-US"/>
        </w:rPr>
        <w:t xml:space="preserve">Ukupne obveze su iskazane u iznosu od </w:t>
      </w:r>
      <w:r w:rsidR="00933F20" w:rsidRPr="00933F20">
        <w:rPr>
          <w:rFonts w:eastAsia="Calibri"/>
          <w:lang w:eastAsia="en-US"/>
        </w:rPr>
        <w:t>5.730.884</w:t>
      </w:r>
      <w:r w:rsidRPr="00135061">
        <w:rPr>
          <w:rFonts w:eastAsia="Calibri"/>
          <w:lang w:eastAsia="en-US"/>
        </w:rPr>
        <w:t xml:space="preserve"> kn. Najveći dio se odnosi na obveze za zaposlene i za materijalne rashode koje su podmirene u siječnju 202</w:t>
      </w:r>
      <w:r w:rsidR="00BD0184">
        <w:rPr>
          <w:rFonts w:eastAsia="Calibri"/>
          <w:lang w:eastAsia="en-US"/>
        </w:rPr>
        <w:t>1</w:t>
      </w:r>
      <w:r w:rsidRPr="00135061">
        <w:rPr>
          <w:rFonts w:eastAsia="Calibri"/>
          <w:lang w:eastAsia="en-US"/>
        </w:rPr>
        <w:t>.</w:t>
      </w:r>
      <w:r w:rsidR="00933F20">
        <w:rPr>
          <w:rFonts w:eastAsia="Calibri"/>
          <w:lang w:eastAsia="en-US"/>
        </w:rPr>
        <w:t xml:space="preserve"> </w:t>
      </w:r>
    </w:p>
    <w:p w14:paraId="4E69C585" w14:textId="070E86A6" w:rsidR="00933F20" w:rsidRDefault="0004545D" w:rsidP="0004545D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Obračunati rashodi koji nisu fakturirani, a terete tekuće razdoblje</w:t>
      </w:r>
      <w:r w:rsidR="00376FDB">
        <w:rPr>
          <w:rFonts w:eastAsia="Calibri"/>
          <w:lang w:eastAsia="en-US"/>
        </w:rPr>
        <w:t xml:space="preserve"> (AOP 227) se </w:t>
      </w:r>
      <w:r>
        <w:rPr>
          <w:rFonts w:eastAsia="Calibri"/>
          <w:lang w:eastAsia="en-US"/>
        </w:rPr>
        <w:t>odnose</w:t>
      </w:r>
      <w:r w:rsidR="002A7759">
        <w:rPr>
          <w:rFonts w:eastAsia="Calibri"/>
          <w:lang w:eastAsia="en-US"/>
        </w:rPr>
        <w:t xml:space="preserve"> na </w:t>
      </w:r>
      <w:r>
        <w:rPr>
          <w:rFonts w:eastAsia="Calibri"/>
          <w:lang w:eastAsia="en-US"/>
        </w:rPr>
        <w:t>u</w:t>
      </w:r>
      <w:r w:rsidRPr="0004545D">
        <w:rPr>
          <w:rFonts w:eastAsia="Calibri"/>
          <w:lang w:eastAsia="en-US"/>
        </w:rPr>
        <w:t>slug</w:t>
      </w:r>
      <w:r>
        <w:rPr>
          <w:rFonts w:eastAsia="Calibri"/>
          <w:lang w:eastAsia="en-US"/>
        </w:rPr>
        <w:t>u</w:t>
      </w:r>
      <w:r w:rsidRPr="0004545D">
        <w:rPr>
          <w:rFonts w:eastAsia="Calibri"/>
          <w:lang w:eastAsia="en-US"/>
        </w:rPr>
        <w:t xml:space="preserve"> održavanja sustava mikrovalnih veza</w:t>
      </w:r>
      <w:r>
        <w:rPr>
          <w:rFonts w:eastAsia="Calibri"/>
          <w:lang w:eastAsia="en-US"/>
        </w:rPr>
        <w:t>, promidžbene</w:t>
      </w:r>
      <w:r w:rsidRPr="0004545D">
        <w:rPr>
          <w:rFonts w:eastAsia="Calibri"/>
          <w:lang w:eastAsia="en-US"/>
        </w:rPr>
        <w:t xml:space="preserve"> materijal</w:t>
      </w:r>
      <w:r>
        <w:rPr>
          <w:rFonts w:eastAsia="Calibri"/>
          <w:lang w:eastAsia="en-US"/>
        </w:rPr>
        <w:t>e, s</w:t>
      </w:r>
      <w:r w:rsidRPr="0004545D">
        <w:rPr>
          <w:rFonts w:eastAsia="Calibri"/>
          <w:lang w:eastAsia="en-US"/>
        </w:rPr>
        <w:t>uradnj</w:t>
      </w:r>
      <w:r>
        <w:rPr>
          <w:rFonts w:eastAsia="Calibri"/>
          <w:lang w:eastAsia="en-US"/>
        </w:rPr>
        <w:t>u</w:t>
      </w:r>
      <w:r w:rsidRPr="0004545D">
        <w:rPr>
          <w:rFonts w:eastAsia="Calibri"/>
          <w:lang w:eastAsia="en-US"/>
        </w:rPr>
        <w:t xml:space="preserve"> na projektu </w:t>
      </w:r>
      <w:proofErr w:type="spellStart"/>
      <w:r w:rsidRPr="0004545D">
        <w:rPr>
          <w:rFonts w:eastAsia="Calibri"/>
          <w:lang w:eastAsia="en-US"/>
        </w:rPr>
        <w:t>J</w:t>
      </w:r>
      <w:r>
        <w:rPr>
          <w:rFonts w:eastAsia="Calibri"/>
          <w:lang w:eastAsia="en-US"/>
        </w:rPr>
        <w:t>oombos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anti</w:t>
      </w:r>
      <w:proofErr w:type="spellEnd"/>
      <w:r w:rsidRPr="0004545D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cyberbulling</w:t>
      </w:r>
      <w:proofErr w:type="spellEnd"/>
      <w:r>
        <w:rPr>
          <w:rFonts w:eastAsia="Calibri"/>
          <w:lang w:eastAsia="en-US"/>
        </w:rPr>
        <w:t xml:space="preserve"> i dr.</w:t>
      </w:r>
    </w:p>
    <w:p w14:paraId="0B60439D" w14:textId="65CE08BD" w:rsidR="0004545D" w:rsidRDefault="006E189A" w:rsidP="006E189A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Bilješka 15.</w:t>
      </w:r>
    </w:p>
    <w:p w14:paraId="2C3228E2" w14:textId="1E053531" w:rsidR="006E189A" w:rsidRPr="00135061" w:rsidRDefault="00E965C0" w:rsidP="006E189A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AOP 229 Vlastiti izvori</w:t>
      </w:r>
    </w:p>
    <w:p w14:paraId="1EC662AA" w14:textId="43BFB30A" w:rsidR="00E53520" w:rsidRDefault="00E965C0" w:rsidP="00055961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E965C0">
        <w:rPr>
          <w:rFonts w:eastAsia="Calibri"/>
          <w:lang w:eastAsia="en-US"/>
        </w:rPr>
        <w:t xml:space="preserve">Napravljena je </w:t>
      </w:r>
      <w:r w:rsidR="009767D9">
        <w:rPr>
          <w:rFonts w:eastAsia="Calibri"/>
          <w:lang w:eastAsia="en-US"/>
        </w:rPr>
        <w:t xml:space="preserve">obvezna </w:t>
      </w:r>
      <w:r w:rsidRPr="00E965C0">
        <w:rPr>
          <w:rFonts w:eastAsia="Calibri"/>
          <w:lang w:eastAsia="en-US"/>
        </w:rPr>
        <w:t>korekcija rezultata te je u</w:t>
      </w:r>
      <w:r w:rsidR="00E53520" w:rsidRPr="00E965C0">
        <w:rPr>
          <w:rFonts w:eastAsia="Calibri"/>
          <w:lang w:eastAsia="en-US"/>
        </w:rPr>
        <w:t xml:space="preserve"> 20</w:t>
      </w:r>
      <w:r w:rsidRPr="00E965C0">
        <w:rPr>
          <w:rFonts w:eastAsia="Calibri"/>
          <w:lang w:eastAsia="en-US"/>
        </w:rPr>
        <w:t>20</w:t>
      </w:r>
      <w:r w:rsidR="00E53520" w:rsidRPr="00E965C0">
        <w:rPr>
          <w:rFonts w:eastAsia="Calibri"/>
          <w:lang w:eastAsia="en-US"/>
        </w:rPr>
        <w:t>. o</w:t>
      </w:r>
      <w:r w:rsidR="0068193A">
        <w:rPr>
          <w:rFonts w:eastAsia="Calibri"/>
          <w:lang w:eastAsia="en-US"/>
        </w:rPr>
        <w:t>stvaren</w:t>
      </w:r>
      <w:r w:rsidR="00E53520" w:rsidRPr="00E965C0">
        <w:rPr>
          <w:rFonts w:eastAsia="Calibri"/>
          <w:lang w:eastAsia="en-US"/>
        </w:rPr>
        <w:t xml:space="preserve"> </w:t>
      </w:r>
      <w:r w:rsidR="00CB323B">
        <w:rPr>
          <w:rFonts w:eastAsia="Calibri"/>
          <w:lang w:eastAsia="en-US"/>
        </w:rPr>
        <w:t>manjak</w:t>
      </w:r>
      <w:r w:rsidR="00E53520" w:rsidRPr="00E965C0">
        <w:rPr>
          <w:rFonts w:eastAsia="Calibri"/>
          <w:lang w:eastAsia="en-US"/>
        </w:rPr>
        <w:t xml:space="preserve"> prihoda poslovanja u iznosu od </w:t>
      </w:r>
      <w:r w:rsidR="00CB323B">
        <w:rPr>
          <w:rFonts w:eastAsia="Calibri"/>
          <w:lang w:eastAsia="en-US"/>
        </w:rPr>
        <w:t>10.446.122</w:t>
      </w:r>
      <w:r w:rsidR="00DC50E5">
        <w:rPr>
          <w:rFonts w:eastAsia="Calibri"/>
          <w:lang w:eastAsia="en-US"/>
        </w:rPr>
        <w:t xml:space="preserve"> kn i</w:t>
      </w:r>
      <w:r w:rsidR="00E53520" w:rsidRPr="00E965C0">
        <w:rPr>
          <w:rFonts w:eastAsia="Calibri"/>
          <w:lang w:eastAsia="en-US"/>
        </w:rPr>
        <w:t xml:space="preserve"> manjak prihoda od nefinancijske imovine u iznosu od </w:t>
      </w:r>
      <w:r w:rsidR="003250CA">
        <w:rPr>
          <w:rFonts w:eastAsia="Calibri"/>
          <w:lang w:eastAsia="en-US"/>
        </w:rPr>
        <w:t>7.624.840</w:t>
      </w:r>
      <w:r w:rsidR="00E53520" w:rsidRPr="00E965C0">
        <w:rPr>
          <w:rFonts w:eastAsia="Calibri"/>
          <w:lang w:eastAsia="en-US"/>
        </w:rPr>
        <w:t xml:space="preserve"> kn. Preneseni višak prihoda iz prethodnih godina iznosio je </w:t>
      </w:r>
      <w:r w:rsidR="003250CA">
        <w:rPr>
          <w:rFonts w:eastAsia="Calibri"/>
          <w:lang w:eastAsia="en-US"/>
        </w:rPr>
        <w:t>47.121.880</w:t>
      </w:r>
      <w:r w:rsidR="00E53520" w:rsidRPr="00E965C0">
        <w:rPr>
          <w:rFonts w:eastAsia="Calibri"/>
          <w:lang w:eastAsia="en-US"/>
        </w:rPr>
        <w:t xml:space="preserve"> kn.</w:t>
      </w:r>
    </w:p>
    <w:p w14:paraId="28DD9AEB" w14:textId="77777777" w:rsidR="00055961" w:rsidRDefault="00055961" w:rsidP="00055961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7D41ED21" w14:textId="260BCBE5" w:rsidR="00202D22" w:rsidRDefault="00202D22" w:rsidP="00202D22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055961">
        <w:rPr>
          <w:rFonts w:eastAsia="Calibri"/>
          <w:lang w:eastAsia="en-US"/>
        </w:rPr>
        <w:t>ilješka 16</w:t>
      </w:r>
      <w:r>
        <w:rPr>
          <w:rFonts w:eastAsia="Calibri"/>
          <w:lang w:eastAsia="en-US"/>
        </w:rPr>
        <w:t>.</w:t>
      </w:r>
    </w:p>
    <w:p w14:paraId="082D0B6A" w14:textId="045E0FDB" w:rsidR="00E53520" w:rsidRPr="00DA2E87" w:rsidRDefault="00202D22" w:rsidP="00202D22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AOP 250 i 251 </w:t>
      </w:r>
      <w:proofErr w:type="spellStart"/>
      <w:r>
        <w:rPr>
          <w:rFonts w:eastAsia="Calibri"/>
          <w:lang w:eastAsia="en-US"/>
        </w:rPr>
        <w:t>Izvanbilančni</w:t>
      </w:r>
      <w:proofErr w:type="spellEnd"/>
      <w:r>
        <w:rPr>
          <w:rFonts w:eastAsia="Calibri"/>
          <w:lang w:eastAsia="en-US"/>
        </w:rPr>
        <w:t xml:space="preserve"> zapisi</w:t>
      </w:r>
    </w:p>
    <w:p w14:paraId="3BC3D1E0" w14:textId="24D5F31F" w:rsidR="00E53520" w:rsidRPr="00DA2E87" w:rsidRDefault="00E53520" w:rsidP="00202D22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DA2E87">
        <w:rPr>
          <w:rFonts w:eastAsia="Calibri"/>
          <w:lang w:eastAsia="en-US"/>
        </w:rPr>
        <w:t xml:space="preserve">U </w:t>
      </w:r>
      <w:proofErr w:type="spellStart"/>
      <w:r w:rsidRPr="00DA2E87">
        <w:rPr>
          <w:rFonts w:eastAsia="Calibri"/>
          <w:lang w:eastAsia="en-US"/>
        </w:rPr>
        <w:t>izvanbilančnoj</w:t>
      </w:r>
      <w:proofErr w:type="spellEnd"/>
      <w:r w:rsidRPr="00DA2E87">
        <w:rPr>
          <w:rFonts w:eastAsia="Calibri"/>
          <w:lang w:eastAsia="en-US"/>
        </w:rPr>
        <w:t xml:space="preserve"> evidenciji u iznosu od </w:t>
      </w:r>
      <w:r w:rsidR="00505C3F" w:rsidRPr="00505C3F">
        <w:rPr>
          <w:rFonts w:eastAsia="Calibri"/>
          <w:lang w:eastAsia="en-US"/>
        </w:rPr>
        <w:t>7.792.879</w:t>
      </w:r>
      <w:r w:rsidRPr="00DA2E87">
        <w:rPr>
          <w:rFonts w:eastAsia="Calibri"/>
          <w:lang w:eastAsia="en-US"/>
        </w:rPr>
        <w:t xml:space="preserve"> kn je evidentirano sljedeće:</w:t>
      </w:r>
    </w:p>
    <w:p w14:paraId="6257481A" w14:textId="3EDCB53E" w:rsidR="00E53520" w:rsidRPr="00DA2E87" w:rsidRDefault="00E53520" w:rsidP="00E53520">
      <w:pPr>
        <w:pStyle w:val="ListParagraph"/>
        <w:numPr>
          <w:ilvl w:val="0"/>
          <w:numId w:val="13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DA2E87">
        <w:rPr>
          <w:rFonts w:eastAsia="Calibri"/>
          <w:lang w:eastAsia="en-US"/>
        </w:rPr>
        <w:t>tuđa imovina dobivena na korištenje u iznosu od 1.060 kn,</w:t>
      </w:r>
      <w:r w:rsidR="00505C3F">
        <w:rPr>
          <w:rFonts w:eastAsia="Calibri"/>
          <w:lang w:eastAsia="en-US"/>
        </w:rPr>
        <w:t xml:space="preserve"> </w:t>
      </w:r>
    </w:p>
    <w:p w14:paraId="49760375" w14:textId="12F037E4" w:rsidR="00E53520" w:rsidRPr="00DA2E87" w:rsidRDefault="00E53520" w:rsidP="00E53520">
      <w:pPr>
        <w:pStyle w:val="ListParagraph"/>
        <w:numPr>
          <w:ilvl w:val="0"/>
          <w:numId w:val="13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DA2E87">
        <w:rPr>
          <w:rFonts w:eastAsia="Calibri"/>
          <w:lang w:eastAsia="en-US"/>
        </w:rPr>
        <w:t xml:space="preserve">instrumenti osiguranja plaćanja u iznosu od </w:t>
      </w:r>
      <w:r w:rsidR="00505C3F">
        <w:rPr>
          <w:rFonts w:eastAsia="Calibri"/>
          <w:lang w:eastAsia="en-US"/>
        </w:rPr>
        <w:t>6.923.811</w:t>
      </w:r>
      <w:r w:rsidRPr="00DA2E87">
        <w:rPr>
          <w:rFonts w:eastAsia="Calibri"/>
          <w:lang w:eastAsia="en-US"/>
        </w:rPr>
        <w:t xml:space="preserve"> kn,</w:t>
      </w:r>
    </w:p>
    <w:p w14:paraId="4F6F7C90" w14:textId="269C9E09" w:rsidR="00E53520" w:rsidRPr="00DA2E87" w:rsidRDefault="00E53520" w:rsidP="00E53520">
      <w:pPr>
        <w:pStyle w:val="ListParagraph"/>
        <w:numPr>
          <w:ilvl w:val="0"/>
          <w:numId w:val="13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DA2E87">
        <w:rPr>
          <w:rFonts w:eastAsia="Calibri"/>
          <w:lang w:eastAsia="en-US"/>
        </w:rPr>
        <w:t xml:space="preserve">potencijalne obveze po osnovi sudskih sporova u tijeku u iznosu od </w:t>
      </w:r>
      <w:r w:rsidR="00505C3F">
        <w:rPr>
          <w:rFonts w:eastAsia="Calibri"/>
          <w:lang w:eastAsia="en-US"/>
        </w:rPr>
        <w:t>841.008</w:t>
      </w:r>
      <w:r w:rsidRPr="00DA2E87">
        <w:rPr>
          <w:rFonts w:eastAsia="Calibri"/>
          <w:lang w:eastAsia="en-US"/>
        </w:rPr>
        <w:t xml:space="preserve"> kn,</w:t>
      </w:r>
    </w:p>
    <w:p w14:paraId="030A9115" w14:textId="332935E7" w:rsidR="00E53520" w:rsidRDefault="00E53520" w:rsidP="00202D22">
      <w:pPr>
        <w:pStyle w:val="ListParagraph"/>
        <w:numPr>
          <w:ilvl w:val="0"/>
          <w:numId w:val="13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DA2E87">
        <w:rPr>
          <w:rFonts w:eastAsia="Calibri"/>
          <w:lang w:eastAsia="en-US"/>
        </w:rPr>
        <w:t xml:space="preserve">ostali </w:t>
      </w:r>
      <w:proofErr w:type="spellStart"/>
      <w:r w:rsidRPr="00DA2E87">
        <w:rPr>
          <w:rFonts w:eastAsia="Calibri"/>
          <w:lang w:eastAsia="en-US"/>
        </w:rPr>
        <w:t>izvanbilančni</w:t>
      </w:r>
      <w:proofErr w:type="spellEnd"/>
      <w:r w:rsidRPr="00DA2E87">
        <w:rPr>
          <w:rFonts w:eastAsia="Calibri"/>
          <w:lang w:eastAsia="en-US"/>
        </w:rPr>
        <w:t xml:space="preserve"> zapisi (sudski sporovi u tijeku iz kojih može proisteći imovina) u iznosu od 2</w:t>
      </w:r>
      <w:r w:rsidR="00505C3F">
        <w:rPr>
          <w:rFonts w:eastAsia="Calibri"/>
          <w:lang w:eastAsia="en-US"/>
        </w:rPr>
        <w:t>7</w:t>
      </w:r>
      <w:r w:rsidRPr="00DA2E87">
        <w:rPr>
          <w:rFonts w:eastAsia="Calibri"/>
          <w:lang w:eastAsia="en-US"/>
        </w:rPr>
        <w:t>.000 kn.</w:t>
      </w:r>
    </w:p>
    <w:p w14:paraId="0B014675" w14:textId="77777777" w:rsidR="00202D22" w:rsidRDefault="00202D22" w:rsidP="00202D22">
      <w:pPr>
        <w:pStyle w:val="ListParagraph"/>
        <w:suppressAutoHyphens/>
        <w:spacing w:line="259" w:lineRule="auto"/>
        <w:jc w:val="both"/>
        <w:rPr>
          <w:rFonts w:eastAsia="Calibri"/>
          <w:lang w:eastAsia="en-US"/>
        </w:rPr>
      </w:pPr>
    </w:p>
    <w:p w14:paraId="0DCE0D22" w14:textId="77777777" w:rsidR="00340983" w:rsidRPr="00DA2E87" w:rsidRDefault="00340983" w:rsidP="00202D22">
      <w:pPr>
        <w:pStyle w:val="ListParagraph"/>
        <w:suppressAutoHyphens/>
        <w:spacing w:line="259" w:lineRule="auto"/>
        <w:jc w:val="both"/>
        <w:rPr>
          <w:rFonts w:eastAsia="Calibri"/>
          <w:lang w:eastAsia="en-US"/>
        </w:rPr>
      </w:pPr>
    </w:p>
    <w:p w14:paraId="7F667DA5" w14:textId="1F6B9009" w:rsidR="00961B70" w:rsidRPr="000E7D95" w:rsidRDefault="00E53520" w:rsidP="00E53520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DA2E87">
        <w:rPr>
          <w:rFonts w:eastAsia="Calibri"/>
          <w:lang w:eastAsia="en-US"/>
        </w:rPr>
        <w:t xml:space="preserve">U nastavku su tablice s popisom ugovornih odnosa i slično koji uz ispunjenje određenih uvjeta mogu postati obveza ili imovina (dane i primljene bjanko zadužnice te primljene </w:t>
      </w:r>
      <w:r w:rsidR="002C11BC">
        <w:rPr>
          <w:rFonts w:eastAsia="Calibri"/>
          <w:lang w:eastAsia="en-US"/>
        </w:rPr>
        <w:t xml:space="preserve">zadužnice i </w:t>
      </w:r>
      <w:r w:rsidRPr="00DA2E87">
        <w:rPr>
          <w:rFonts w:eastAsia="Calibri"/>
          <w:lang w:eastAsia="en-US"/>
        </w:rPr>
        <w:t>bankovne garancije kao instrumenti osiguranja plaćanja) te popis sudskih sporova u tijeku s opisom prirode spora, procjenom financijskog učinka koji može proisteći iz sudskog spora kao obveza ili imovina te procijenjenim vremenom odljeva ili priljeva.</w:t>
      </w:r>
      <w:r w:rsidR="00961B70">
        <w:rPr>
          <w:rFonts w:eastAsia="Calibri"/>
          <w:lang w:eastAsia="en-US"/>
        </w:rPr>
        <w:t xml:space="preserve">   </w:t>
      </w:r>
    </w:p>
    <w:p w14:paraId="7873BF71" w14:textId="77777777" w:rsidR="00A65998" w:rsidRDefault="00A65998" w:rsidP="00A65998"/>
    <w:p w14:paraId="4E4DF45C" w14:textId="77777777" w:rsidR="00E53520" w:rsidRDefault="00E53520" w:rsidP="00A65998"/>
    <w:p w14:paraId="1FA443F7" w14:textId="77777777" w:rsidR="00E53520" w:rsidRDefault="00E53520" w:rsidP="00A65998"/>
    <w:p w14:paraId="7BD02CB3" w14:textId="77777777" w:rsidR="00E53520" w:rsidRDefault="00E53520" w:rsidP="00A65998"/>
    <w:p w14:paraId="3996DCAF" w14:textId="77777777" w:rsidR="00746C31" w:rsidRDefault="00746C31" w:rsidP="00202D22">
      <w:pPr>
        <w:rPr>
          <w:rFonts w:eastAsiaTheme="minorHAnsi"/>
          <w:b/>
          <w:sz w:val="28"/>
          <w:szCs w:val="28"/>
          <w:lang w:eastAsia="en-US"/>
        </w:rPr>
        <w:sectPr w:rsidR="00746C31" w:rsidSect="0066434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134" w:bottom="1560" w:left="1134" w:header="340" w:footer="454" w:gutter="0"/>
          <w:cols w:space="708"/>
          <w:titlePg/>
          <w:docGrid w:linePitch="360"/>
        </w:sectPr>
      </w:pPr>
    </w:p>
    <w:p w14:paraId="609C0050" w14:textId="1BCD99ED" w:rsidR="00E53520" w:rsidRPr="00DA2E87" w:rsidRDefault="00E53520" w:rsidP="00E5352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A2E87">
        <w:rPr>
          <w:rFonts w:eastAsiaTheme="minorHAnsi"/>
          <w:b/>
          <w:sz w:val="28"/>
          <w:szCs w:val="28"/>
          <w:lang w:eastAsia="en-US"/>
        </w:rPr>
        <w:lastRenderedPageBreak/>
        <w:t>POPIS PRIMLJENIH I DANIH VRIJEDNOSNIH PAPIRA</w:t>
      </w:r>
    </w:p>
    <w:p w14:paraId="5BC4EEBA" w14:textId="77777777" w:rsidR="00E53520" w:rsidRPr="00DA2E87" w:rsidRDefault="00E53520" w:rsidP="00E5352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D074477" w14:textId="77777777" w:rsidR="00E53520" w:rsidRPr="00DA2E87" w:rsidRDefault="00E53520" w:rsidP="00E53520">
      <w:pPr>
        <w:jc w:val="center"/>
        <w:rPr>
          <w:rFonts w:eastAsiaTheme="minorHAnsi"/>
          <w:b/>
          <w:lang w:eastAsia="en-US"/>
        </w:rPr>
      </w:pPr>
    </w:p>
    <w:tbl>
      <w:tblPr>
        <w:tblStyle w:val="TableGrid3"/>
        <w:tblW w:w="148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259"/>
        <w:gridCol w:w="1842"/>
        <w:gridCol w:w="2127"/>
        <w:gridCol w:w="1984"/>
        <w:gridCol w:w="1276"/>
        <w:gridCol w:w="2269"/>
      </w:tblGrid>
      <w:tr w:rsidR="00471CD1" w:rsidRPr="00DA2E87" w14:paraId="284C3782" w14:textId="77777777" w:rsidTr="002A317F">
        <w:tc>
          <w:tcPr>
            <w:tcW w:w="817" w:type="dxa"/>
            <w:shd w:val="clear" w:color="auto" w:fill="D9D9D9" w:themeFill="background1" w:themeFillShade="D9"/>
          </w:tcPr>
          <w:p w14:paraId="7CE69CCA" w14:textId="77777777" w:rsidR="00471CD1" w:rsidRPr="00FA174B" w:rsidRDefault="00471CD1" w:rsidP="0047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Red. br.</w:t>
            </w:r>
          </w:p>
          <w:p w14:paraId="761A8697" w14:textId="77777777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2AA39A0" w14:textId="194ADC37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Datum izdavanja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0771A930" w14:textId="52453C94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Instrument osiguranja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DA92EAA" w14:textId="267DF13A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Iznos dani/primljeni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7063A8D" w14:textId="77777777" w:rsidR="00471CD1" w:rsidRDefault="00471CD1" w:rsidP="0047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Primatelj/</w:t>
            </w:r>
          </w:p>
          <w:p w14:paraId="49F69239" w14:textId="3501008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davatelj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545ED0" w14:textId="594D8AB2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Namjena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6DD7C2" w14:textId="29850125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Rok važenja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25FAF9C1" w14:textId="30C1F173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471CD1" w:rsidRPr="00DA2E87" w14:paraId="405AFFB0" w14:textId="77777777" w:rsidTr="002A317F">
        <w:trPr>
          <w:trHeight w:val="399"/>
        </w:trPr>
        <w:tc>
          <w:tcPr>
            <w:tcW w:w="817" w:type="dxa"/>
          </w:tcPr>
          <w:p w14:paraId="0EFA3A44" w14:textId="2F94B967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276" w:type="dxa"/>
          </w:tcPr>
          <w:p w14:paraId="3099F37C" w14:textId="55A785FE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10.10.2014.</w:t>
            </w:r>
          </w:p>
        </w:tc>
        <w:tc>
          <w:tcPr>
            <w:tcW w:w="3259" w:type="dxa"/>
          </w:tcPr>
          <w:p w14:paraId="1D1E990A" w14:textId="3762F269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Bjanko zadužnica – OV-10490/14</w:t>
            </w:r>
          </w:p>
        </w:tc>
        <w:tc>
          <w:tcPr>
            <w:tcW w:w="1842" w:type="dxa"/>
          </w:tcPr>
          <w:p w14:paraId="39E1E8EE" w14:textId="48AE07FF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100.000,00 kn</w:t>
            </w:r>
          </w:p>
        </w:tc>
        <w:tc>
          <w:tcPr>
            <w:tcW w:w="2127" w:type="dxa"/>
          </w:tcPr>
          <w:p w14:paraId="2AB1B333" w14:textId="566462C9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INA d.d.</w:t>
            </w:r>
          </w:p>
        </w:tc>
        <w:tc>
          <w:tcPr>
            <w:tcW w:w="1984" w:type="dxa"/>
          </w:tcPr>
          <w:p w14:paraId="7E3482F7" w14:textId="68CD9EB7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3F913CF6" w14:textId="6D830875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31.12.2020.</w:t>
            </w:r>
          </w:p>
        </w:tc>
        <w:tc>
          <w:tcPr>
            <w:tcW w:w="2269" w:type="dxa"/>
          </w:tcPr>
          <w:p w14:paraId="41DC6D54" w14:textId="2B8100C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Dani vrijednosni papir</w:t>
            </w:r>
          </w:p>
        </w:tc>
      </w:tr>
      <w:tr w:rsidR="00471CD1" w:rsidRPr="00DA2E87" w14:paraId="4486E4C8" w14:textId="77777777" w:rsidTr="002A317F">
        <w:trPr>
          <w:trHeight w:val="419"/>
        </w:trPr>
        <w:tc>
          <w:tcPr>
            <w:tcW w:w="817" w:type="dxa"/>
          </w:tcPr>
          <w:p w14:paraId="7E0FEA69" w14:textId="52166FF5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1276" w:type="dxa"/>
          </w:tcPr>
          <w:p w14:paraId="43A0B86D" w14:textId="2B4CD095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10.10.2014.</w:t>
            </w:r>
          </w:p>
        </w:tc>
        <w:tc>
          <w:tcPr>
            <w:tcW w:w="3259" w:type="dxa"/>
          </w:tcPr>
          <w:p w14:paraId="07D01839" w14:textId="138C9005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Bjanko zadužnica – OV-10491/14</w:t>
            </w:r>
          </w:p>
        </w:tc>
        <w:tc>
          <w:tcPr>
            <w:tcW w:w="1842" w:type="dxa"/>
          </w:tcPr>
          <w:p w14:paraId="553E0864" w14:textId="7FA56FC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100.000,00 kn</w:t>
            </w:r>
          </w:p>
        </w:tc>
        <w:tc>
          <w:tcPr>
            <w:tcW w:w="2127" w:type="dxa"/>
          </w:tcPr>
          <w:p w14:paraId="47D4BB52" w14:textId="21FF36B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INA d.d.</w:t>
            </w:r>
          </w:p>
        </w:tc>
        <w:tc>
          <w:tcPr>
            <w:tcW w:w="1984" w:type="dxa"/>
          </w:tcPr>
          <w:p w14:paraId="47230E35" w14:textId="7B7D8670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26E4E3CB" w14:textId="797DD968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31.12.2020.</w:t>
            </w:r>
          </w:p>
        </w:tc>
        <w:tc>
          <w:tcPr>
            <w:tcW w:w="2269" w:type="dxa"/>
          </w:tcPr>
          <w:p w14:paraId="3603A2BC" w14:textId="64C5CDB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Dani vrijednosni papir</w:t>
            </w:r>
          </w:p>
        </w:tc>
      </w:tr>
      <w:tr w:rsidR="00471CD1" w:rsidRPr="00DA2E87" w14:paraId="6F0B1350" w14:textId="77777777" w:rsidTr="002A317F">
        <w:trPr>
          <w:trHeight w:val="411"/>
        </w:trPr>
        <w:tc>
          <w:tcPr>
            <w:tcW w:w="817" w:type="dxa"/>
          </w:tcPr>
          <w:p w14:paraId="0603A85F" w14:textId="35A7B319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32F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555F0493" w14:textId="604CD86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30.04.2019.</w:t>
            </w:r>
          </w:p>
        </w:tc>
        <w:tc>
          <w:tcPr>
            <w:tcW w:w="3259" w:type="dxa"/>
          </w:tcPr>
          <w:p w14:paraId="393F60DB" w14:textId="4CC69F99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Bankovna garancija br. </w:t>
            </w:r>
            <w:r w:rsidRPr="00A83150">
              <w:rPr>
                <w:rFonts w:ascii="Times New Roman" w:hAnsi="Times New Roman" w:cs="Times New Roman"/>
                <w:sz w:val="18"/>
                <w:szCs w:val="18"/>
              </w:rPr>
              <w:t>81904-00188-33</w:t>
            </w:r>
          </w:p>
        </w:tc>
        <w:tc>
          <w:tcPr>
            <w:tcW w:w="1842" w:type="dxa"/>
          </w:tcPr>
          <w:p w14:paraId="4F738926" w14:textId="50D43BBC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50">
              <w:rPr>
                <w:rFonts w:ascii="Times New Roman" w:hAnsi="Times New Roman" w:cs="Times New Roman"/>
                <w:sz w:val="18"/>
                <w:szCs w:val="18"/>
              </w:rPr>
              <w:t>82.500,00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kn</w:t>
            </w:r>
          </w:p>
        </w:tc>
        <w:tc>
          <w:tcPr>
            <w:tcW w:w="2127" w:type="dxa"/>
          </w:tcPr>
          <w:p w14:paraId="1E615D9C" w14:textId="3E9AE885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50">
              <w:rPr>
                <w:rFonts w:ascii="Times New Roman" w:hAnsi="Times New Roman" w:cs="Times New Roman"/>
                <w:sz w:val="18"/>
                <w:szCs w:val="18"/>
              </w:rPr>
              <w:t>CULLEN INTERNATIONAL</w:t>
            </w:r>
          </w:p>
        </w:tc>
        <w:tc>
          <w:tcPr>
            <w:tcW w:w="1984" w:type="dxa"/>
          </w:tcPr>
          <w:p w14:paraId="1850E53E" w14:textId="70D89D19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72773E82" w14:textId="121F5153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26.04.2022.</w:t>
            </w:r>
          </w:p>
        </w:tc>
        <w:tc>
          <w:tcPr>
            <w:tcW w:w="2269" w:type="dxa"/>
          </w:tcPr>
          <w:p w14:paraId="63A5E9E6" w14:textId="7A5FF9AE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50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471CD1" w:rsidRPr="00DA2E87" w14:paraId="478F3543" w14:textId="77777777" w:rsidTr="002A317F">
        <w:trPr>
          <w:trHeight w:val="417"/>
        </w:trPr>
        <w:tc>
          <w:tcPr>
            <w:tcW w:w="817" w:type="dxa"/>
          </w:tcPr>
          <w:p w14:paraId="16F0E072" w14:textId="78A9E65B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1276" w:type="dxa"/>
          </w:tcPr>
          <w:p w14:paraId="31DF3CF9" w14:textId="2FADB7B4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16.10.2019.</w:t>
            </w:r>
          </w:p>
        </w:tc>
        <w:tc>
          <w:tcPr>
            <w:tcW w:w="3259" w:type="dxa"/>
          </w:tcPr>
          <w:p w14:paraId="5C32E1D7" w14:textId="1981A911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404">
              <w:rPr>
                <w:rFonts w:ascii="Times New Roman" w:hAnsi="Times New Roman" w:cs="Times New Roman"/>
                <w:sz w:val="18"/>
                <w:szCs w:val="18"/>
              </w:rPr>
              <w:t>Bankovna garancija br. 0450640</w:t>
            </w:r>
          </w:p>
        </w:tc>
        <w:tc>
          <w:tcPr>
            <w:tcW w:w="1842" w:type="dxa"/>
          </w:tcPr>
          <w:p w14:paraId="270ED697" w14:textId="0C1ABB25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40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34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  <w:r w:rsidRPr="002A34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 kn</w:t>
            </w:r>
          </w:p>
        </w:tc>
        <w:tc>
          <w:tcPr>
            <w:tcW w:w="2127" w:type="dxa"/>
          </w:tcPr>
          <w:p w14:paraId="7F4B1E64" w14:textId="665895D4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41">
              <w:rPr>
                <w:rFonts w:ascii="Times New Roman" w:hAnsi="Times New Roman" w:cs="Times New Roman"/>
                <w:sz w:val="18"/>
                <w:szCs w:val="18"/>
              </w:rPr>
              <w:t>AXO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PARTNERS GROUP CONSULTING </w:t>
            </w:r>
          </w:p>
        </w:tc>
        <w:tc>
          <w:tcPr>
            <w:tcW w:w="1984" w:type="dxa"/>
          </w:tcPr>
          <w:p w14:paraId="7FD9E3BA" w14:textId="08D7AA0B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65024B15" w14:textId="0DE95F15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01.02.2021.</w:t>
            </w:r>
          </w:p>
        </w:tc>
        <w:tc>
          <w:tcPr>
            <w:tcW w:w="2269" w:type="dxa"/>
          </w:tcPr>
          <w:p w14:paraId="24074FDA" w14:textId="65F9605A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50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471CD1" w:rsidRPr="00DA2E87" w14:paraId="69B07B7A" w14:textId="77777777" w:rsidTr="002A317F">
        <w:trPr>
          <w:trHeight w:val="424"/>
        </w:trPr>
        <w:tc>
          <w:tcPr>
            <w:tcW w:w="817" w:type="dxa"/>
          </w:tcPr>
          <w:p w14:paraId="5BFB27BA" w14:textId="2DE5C09C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1276" w:type="dxa"/>
          </w:tcPr>
          <w:p w14:paraId="4D2FE2FC" w14:textId="3CD32A40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10.12.2019.</w:t>
            </w:r>
          </w:p>
        </w:tc>
        <w:tc>
          <w:tcPr>
            <w:tcW w:w="3259" w:type="dxa"/>
          </w:tcPr>
          <w:p w14:paraId="4123C446" w14:textId="4321DE2B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41">
              <w:rPr>
                <w:rFonts w:ascii="Times New Roman" w:hAnsi="Times New Roman" w:cs="Times New Roman"/>
                <w:sz w:val="18"/>
                <w:szCs w:val="18"/>
              </w:rPr>
              <w:t>Bjanko zadužnica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OV-10280/2019</w:t>
            </w:r>
          </w:p>
        </w:tc>
        <w:tc>
          <w:tcPr>
            <w:tcW w:w="1842" w:type="dxa"/>
          </w:tcPr>
          <w:p w14:paraId="142D8C65" w14:textId="2619550B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41">
              <w:rPr>
                <w:rFonts w:ascii="Times New Roman" w:hAnsi="Times New Roman" w:cs="Times New Roman"/>
                <w:sz w:val="18"/>
                <w:szCs w:val="18"/>
              </w:rPr>
              <w:t>133.999,62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kn</w:t>
            </w:r>
          </w:p>
        </w:tc>
        <w:tc>
          <w:tcPr>
            <w:tcW w:w="2127" w:type="dxa"/>
          </w:tcPr>
          <w:p w14:paraId="326FC5CD" w14:textId="1A71F726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41">
              <w:rPr>
                <w:rFonts w:ascii="Times New Roman" w:hAnsi="Times New Roman" w:cs="Times New Roman"/>
                <w:sz w:val="18"/>
                <w:szCs w:val="18"/>
              </w:rPr>
              <w:t>CEI-IETA d.o.o.</w:t>
            </w:r>
          </w:p>
        </w:tc>
        <w:tc>
          <w:tcPr>
            <w:tcW w:w="1984" w:type="dxa"/>
          </w:tcPr>
          <w:p w14:paraId="05040B6A" w14:textId="5B5AFEAC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41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1FDE388C" w14:textId="77777777" w:rsidR="00471CD1" w:rsidRPr="001A2E2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A2E27">
              <w:rPr>
                <w:rFonts w:ascii="Times New Roman" w:hAnsi="Times New Roman" w:cs="Times New Roman"/>
                <w:sz w:val="18"/>
                <w:szCs w:val="18"/>
              </w:rPr>
              <w:t xml:space="preserve">.12.2020. </w:t>
            </w:r>
          </w:p>
          <w:p w14:paraId="07368EFE" w14:textId="2B2C1F5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E27">
              <w:rPr>
                <w:rFonts w:ascii="Times New Roman" w:hAnsi="Times New Roman" w:cs="Times New Roman"/>
                <w:sz w:val="18"/>
                <w:szCs w:val="18"/>
              </w:rPr>
              <w:t>+ 60 dana</w:t>
            </w:r>
          </w:p>
        </w:tc>
        <w:tc>
          <w:tcPr>
            <w:tcW w:w="2269" w:type="dxa"/>
          </w:tcPr>
          <w:p w14:paraId="53186390" w14:textId="041B2BE2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41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471CD1" w:rsidRPr="00DA2E87" w14:paraId="2817E665" w14:textId="77777777" w:rsidTr="002A317F">
        <w:trPr>
          <w:trHeight w:val="435"/>
        </w:trPr>
        <w:tc>
          <w:tcPr>
            <w:tcW w:w="817" w:type="dxa"/>
          </w:tcPr>
          <w:p w14:paraId="327DF44D" w14:textId="416B1227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14:paraId="251206EA" w14:textId="10063A3C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23.07.2019.</w:t>
            </w:r>
          </w:p>
        </w:tc>
        <w:tc>
          <w:tcPr>
            <w:tcW w:w="3259" w:type="dxa"/>
          </w:tcPr>
          <w:p w14:paraId="3FA009C9" w14:textId="212D20F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Bankovna garancija br. </w:t>
            </w:r>
            <w:r w:rsidRPr="00533E73">
              <w:rPr>
                <w:rFonts w:ascii="Times New Roman" w:hAnsi="Times New Roman" w:cs="Times New Roman"/>
                <w:sz w:val="18"/>
                <w:szCs w:val="18"/>
              </w:rPr>
              <w:t>4100935388</w:t>
            </w:r>
          </w:p>
        </w:tc>
        <w:tc>
          <w:tcPr>
            <w:tcW w:w="1842" w:type="dxa"/>
          </w:tcPr>
          <w:p w14:paraId="79A4487F" w14:textId="3DC3A629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5.800.000,00 kn</w:t>
            </w:r>
          </w:p>
        </w:tc>
        <w:tc>
          <w:tcPr>
            <w:tcW w:w="2127" w:type="dxa"/>
          </w:tcPr>
          <w:p w14:paraId="2E7E203B" w14:textId="0E9526F6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Odašiljači i veze d.o.o.</w:t>
            </w:r>
          </w:p>
        </w:tc>
        <w:tc>
          <w:tcPr>
            <w:tcW w:w="1984" w:type="dxa"/>
          </w:tcPr>
          <w:p w14:paraId="37A74715" w14:textId="42D9A914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275ECDB1" w14:textId="107F7A4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31.12.2022.</w:t>
            </w:r>
          </w:p>
        </w:tc>
        <w:tc>
          <w:tcPr>
            <w:tcW w:w="2269" w:type="dxa"/>
          </w:tcPr>
          <w:p w14:paraId="7B05C9B4" w14:textId="2536C887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471CD1" w:rsidRPr="00DA2E87" w14:paraId="7D34E755" w14:textId="77777777" w:rsidTr="002A317F">
        <w:trPr>
          <w:trHeight w:val="411"/>
        </w:trPr>
        <w:tc>
          <w:tcPr>
            <w:tcW w:w="817" w:type="dxa"/>
          </w:tcPr>
          <w:p w14:paraId="37EE68AA" w14:textId="3BBFD65C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14:paraId="50320F88" w14:textId="1A90902A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17.01.2020.</w:t>
            </w:r>
          </w:p>
        </w:tc>
        <w:tc>
          <w:tcPr>
            <w:tcW w:w="3259" w:type="dxa"/>
          </w:tcPr>
          <w:p w14:paraId="2B8AC314" w14:textId="49D3659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Bankovna garancija br. </w:t>
            </w:r>
            <w:r w:rsidRPr="009B4F7C">
              <w:rPr>
                <w:rFonts w:ascii="Times New Roman" w:hAnsi="Times New Roman" w:cs="Times New Roman"/>
                <w:sz w:val="18"/>
                <w:szCs w:val="18"/>
              </w:rPr>
              <w:t>16/2020-G-DPVPJS</w:t>
            </w:r>
          </w:p>
        </w:tc>
        <w:tc>
          <w:tcPr>
            <w:tcW w:w="1842" w:type="dxa"/>
          </w:tcPr>
          <w:p w14:paraId="056A949C" w14:textId="418F6BC8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53.400,00 kn</w:t>
            </w:r>
          </w:p>
        </w:tc>
        <w:tc>
          <w:tcPr>
            <w:tcW w:w="2127" w:type="dxa"/>
          </w:tcPr>
          <w:p w14:paraId="64D3DCF1" w14:textId="0240EBAC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984" w:type="dxa"/>
          </w:tcPr>
          <w:p w14:paraId="2ECFF333" w14:textId="3351A14C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7AB1C9B5" w14:textId="3673878B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31.01.2022.</w:t>
            </w:r>
          </w:p>
        </w:tc>
        <w:tc>
          <w:tcPr>
            <w:tcW w:w="2269" w:type="dxa"/>
          </w:tcPr>
          <w:p w14:paraId="11943153" w14:textId="367398F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471CD1" w:rsidRPr="00DA2E87" w14:paraId="46D36865" w14:textId="77777777" w:rsidTr="002A317F">
        <w:trPr>
          <w:trHeight w:val="402"/>
        </w:trPr>
        <w:tc>
          <w:tcPr>
            <w:tcW w:w="817" w:type="dxa"/>
          </w:tcPr>
          <w:p w14:paraId="719BB232" w14:textId="060B007A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</w:tcPr>
          <w:p w14:paraId="7D100DFD" w14:textId="6C968FA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29.01.2020.</w:t>
            </w:r>
          </w:p>
        </w:tc>
        <w:tc>
          <w:tcPr>
            <w:tcW w:w="3259" w:type="dxa"/>
          </w:tcPr>
          <w:p w14:paraId="6BF59D6A" w14:textId="56CBCB44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Bankovna garancija br. </w:t>
            </w:r>
            <w:r w:rsidRPr="00BB7F9C">
              <w:rPr>
                <w:rFonts w:ascii="Times New Roman" w:hAnsi="Times New Roman" w:cs="Times New Roman"/>
                <w:sz w:val="18"/>
                <w:szCs w:val="18"/>
              </w:rPr>
              <w:t>5402154717</w:t>
            </w:r>
          </w:p>
        </w:tc>
        <w:tc>
          <w:tcPr>
            <w:tcW w:w="1842" w:type="dxa"/>
          </w:tcPr>
          <w:p w14:paraId="48A4EB1C" w14:textId="702530EA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35.224,41 kn</w:t>
            </w:r>
          </w:p>
        </w:tc>
        <w:tc>
          <w:tcPr>
            <w:tcW w:w="2127" w:type="dxa"/>
          </w:tcPr>
          <w:p w14:paraId="79DC77E5" w14:textId="6AFF5C79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Wiener osiguranje d.d.</w:t>
            </w:r>
          </w:p>
        </w:tc>
        <w:tc>
          <w:tcPr>
            <w:tcW w:w="1984" w:type="dxa"/>
          </w:tcPr>
          <w:p w14:paraId="19F08D85" w14:textId="41D6ACD9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3C71EE93" w14:textId="36028DFB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31.01.2022.</w:t>
            </w:r>
          </w:p>
        </w:tc>
        <w:tc>
          <w:tcPr>
            <w:tcW w:w="2269" w:type="dxa"/>
          </w:tcPr>
          <w:p w14:paraId="79DA4D46" w14:textId="75AE18CA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471CD1" w:rsidRPr="00DA2E87" w14:paraId="74CCE586" w14:textId="77777777" w:rsidTr="002A317F">
        <w:trPr>
          <w:trHeight w:val="426"/>
        </w:trPr>
        <w:tc>
          <w:tcPr>
            <w:tcW w:w="817" w:type="dxa"/>
          </w:tcPr>
          <w:p w14:paraId="3758CF2C" w14:textId="3BDB514E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</w:tcPr>
          <w:p w14:paraId="651094B6" w14:textId="7098E998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23.01.2020.</w:t>
            </w:r>
          </w:p>
        </w:tc>
        <w:tc>
          <w:tcPr>
            <w:tcW w:w="3259" w:type="dxa"/>
          </w:tcPr>
          <w:p w14:paraId="48260021" w14:textId="689DA9B5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Bankovna garancija br. </w:t>
            </w:r>
            <w:r w:rsidRPr="00BB7F9C">
              <w:rPr>
                <w:rFonts w:ascii="Times New Roman" w:hAnsi="Times New Roman" w:cs="Times New Roman"/>
                <w:sz w:val="18"/>
                <w:szCs w:val="18"/>
              </w:rPr>
              <w:t>5402153440</w:t>
            </w:r>
          </w:p>
        </w:tc>
        <w:tc>
          <w:tcPr>
            <w:tcW w:w="1842" w:type="dxa"/>
          </w:tcPr>
          <w:p w14:paraId="74DFCF0C" w14:textId="0BC2B5A4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11.595,11 kn</w:t>
            </w:r>
          </w:p>
        </w:tc>
        <w:tc>
          <w:tcPr>
            <w:tcW w:w="2127" w:type="dxa"/>
          </w:tcPr>
          <w:p w14:paraId="4916F020" w14:textId="0509C541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9C">
              <w:rPr>
                <w:rFonts w:ascii="Times New Roman" w:hAnsi="Times New Roman" w:cs="Times New Roman"/>
                <w:sz w:val="18"/>
                <w:szCs w:val="18"/>
              </w:rPr>
              <w:t>Wiener osiguranje d.d.</w:t>
            </w:r>
          </w:p>
        </w:tc>
        <w:tc>
          <w:tcPr>
            <w:tcW w:w="1984" w:type="dxa"/>
          </w:tcPr>
          <w:p w14:paraId="1006E3B4" w14:textId="6F1C86E0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735A2F54" w14:textId="29855259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30.01.2021.</w:t>
            </w:r>
          </w:p>
        </w:tc>
        <w:tc>
          <w:tcPr>
            <w:tcW w:w="2269" w:type="dxa"/>
          </w:tcPr>
          <w:p w14:paraId="65D69988" w14:textId="0756908E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50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471CD1" w:rsidRPr="00DA2E87" w14:paraId="53C83C53" w14:textId="77777777" w:rsidTr="002A317F">
        <w:trPr>
          <w:trHeight w:val="417"/>
        </w:trPr>
        <w:tc>
          <w:tcPr>
            <w:tcW w:w="817" w:type="dxa"/>
          </w:tcPr>
          <w:p w14:paraId="738E2DD4" w14:textId="1C833B67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276" w:type="dxa"/>
          </w:tcPr>
          <w:p w14:paraId="30810A70" w14:textId="6C734B35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25.02.2020.</w:t>
            </w:r>
          </w:p>
        </w:tc>
        <w:tc>
          <w:tcPr>
            <w:tcW w:w="3259" w:type="dxa"/>
          </w:tcPr>
          <w:p w14:paraId="617A3E3B" w14:textId="425D0430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5F">
              <w:rPr>
                <w:rFonts w:ascii="Times New Roman" w:hAnsi="Times New Roman" w:cs="Times New Roman"/>
                <w:sz w:val="18"/>
                <w:szCs w:val="18"/>
              </w:rPr>
              <w:t xml:space="preserve">Bankovna garancija br. </w:t>
            </w:r>
            <w:r w:rsidRPr="009F1B28">
              <w:rPr>
                <w:rFonts w:ascii="Times New Roman" w:hAnsi="Times New Roman" w:cs="Times New Roman"/>
                <w:sz w:val="18"/>
                <w:szCs w:val="18"/>
              </w:rPr>
              <w:t>4100966706</w:t>
            </w:r>
          </w:p>
        </w:tc>
        <w:tc>
          <w:tcPr>
            <w:tcW w:w="1842" w:type="dxa"/>
          </w:tcPr>
          <w:p w14:paraId="29B24B94" w14:textId="2FAFA4F0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48.843,75 kn</w:t>
            </w:r>
          </w:p>
        </w:tc>
        <w:tc>
          <w:tcPr>
            <w:tcW w:w="2127" w:type="dxa"/>
          </w:tcPr>
          <w:p w14:paraId="380A470E" w14:textId="32757E9B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CEI-IETA d.o.o.</w:t>
            </w:r>
          </w:p>
        </w:tc>
        <w:tc>
          <w:tcPr>
            <w:tcW w:w="1984" w:type="dxa"/>
          </w:tcPr>
          <w:p w14:paraId="7D54B933" w14:textId="2F1B72FF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3651E6EB" w14:textId="5B7DF1A0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23.03.2021.</w:t>
            </w:r>
          </w:p>
        </w:tc>
        <w:tc>
          <w:tcPr>
            <w:tcW w:w="2269" w:type="dxa"/>
          </w:tcPr>
          <w:p w14:paraId="7F1495EA" w14:textId="1020C4FB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50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471CD1" w:rsidRPr="00DA2E87" w14:paraId="652388D1" w14:textId="77777777" w:rsidTr="002A317F">
        <w:trPr>
          <w:trHeight w:val="409"/>
        </w:trPr>
        <w:tc>
          <w:tcPr>
            <w:tcW w:w="817" w:type="dxa"/>
          </w:tcPr>
          <w:p w14:paraId="43BF21FB" w14:textId="0CB7E22E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276" w:type="dxa"/>
          </w:tcPr>
          <w:p w14:paraId="16876E42" w14:textId="35D74ECB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20.03.2020.</w:t>
            </w:r>
          </w:p>
        </w:tc>
        <w:tc>
          <w:tcPr>
            <w:tcW w:w="3259" w:type="dxa"/>
          </w:tcPr>
          <w:p w14:paraId="649D85CF" w14:textId="4F3223E7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Zadužnica poslovni br. OV-1419/20</w:t>
            </w:r>
          </w:p>
        </w:tc>
        <w:tc>
          <w:tcPr>
            <w:tcW w:w="1842" w:type="dxa"/>
          </w:tcPr>
          <w:p w14:paraId="0A233A02" w14:textId="5546C5A8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95.295,79 kn</w:t>
            </w:r>
          </w:p>
        </w:tc>
        <w:tc>
          <w:tcPr>
            <w:tcW w:w="2127" w:type="dxa"/>
          </w:tcPr>
          <w:p w14:paraId="0475101C" w14:textId="4F0BD358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88B">
              <w:rPr>
                <w:rFonts w:ascii="Times New Roman" w:hAnsi="Times New Roman" w:cs="Times New Roman"/>
                <w:sz w:val="18"/>
                <w:szCs w:val="18"/>
              </w:rPr>
              <w:t>HP - Hrvatska pošta d.d.</w:t>
            </w:r>
          </w:p>
        </w:tc>
        <w:tc>
          <w:tcPr>
            <w:tcW w:w="1984" w:type="dxa"/>
          </w:tcPr>
          <w:p w14:paraId="19F7AA30" w14:textId="07E473F0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4D48A6C3" w14:textId="5C66C32A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DD">
              <w:rPr>
                <w:rFonts w:ascii="Times New Roman" w:hAnsi="Times New Roman" w:cs="Times New Roman"/>
                <w:sz w:val="18"/>
                <w:szCs w:val="18"/>
              </w:rPr>
              <w:t>28.02.2022.</w:t>
            </w:r>
          </w:p>
        </w:tc>
        <w:tc>
          <w:tcPr>
            <w:tcW w:w="2269" w:type="dxa"/>
          </w:tcPr>
          <w:p w14:paraId="773270EF" w14:textId="2F9C4318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50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471CD1" w:rsidRPr="00DA2E87" w14:paraId="6D9EEE2F" w14:textId="77777777" w:rsidTr="002A317F">
        <w:trPr>
          <w:trHeight w:val="393"/>
        </w:trPr>
        <w:tc>
          <w:tcPr>
            <w:tcW w:w="817" w:type="dxa"/>
          </w:tcPr>
          <w:p w14:paraId="2E3E88DD" w14:textId="494F6811" w:rsidR="00471CD1" w:rsidRDefault="00471CD1" w:rsidP="00471CD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276" w:type="dxa"/>
          </w:tcPr>
          <w:p w14:paraId="301562E6" w14:textId="0658379C" w:rsidR="00471CD1" w:rsidRDefault="00471CD1" w:rsidP="00471CD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08.09.2020.</w:t>
            </w:r>
          </w:p>
        </w:tc>
        <w:tc>
          <w:tcPr>
            <w:tcW w:w="3259" w:type="dxa"/>
          </w:tcPr>
          <w:p w14:paraId="3F7FD883" w14:textId="015A1093" w:rsidR="00471CD1" w:rsidRPr="00BD5341" w:rsidRDefault="00471CD1" w:rsidP="00471CD1">
            <w:pPr>
              <w:jc w:val="center"/>
              <w:rPr>
                <w:sz w:val="18"/>
                <w:szCs w:val="18"/>
              </w:rPr>
            </w:pPr>
            <w:r w:rsidRPr="00ED5E7D">
              <w:rPr>
                <w:rFonts w:ascii="Times New Roman" w:hAnsi="Times New Roman" w:cs="Times New Roman"/>
                <w:sz w:val="18"/>
                <w:szCs w:val="18"/>
              </w:rPr>
              <w:t>Bjanko zadužnica – OV-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7461/2020</w:t>
            </w:r>
          </w:p>
        </w:tc>
        <w:tc>
          <w:tcPr>
            <w:tcW w:w="1842" w:type="dxa"/>
          </w:tcPr>
          <w:p w14:paraId="26A1F3F5" w14:textId="773A9404" w:rsidR="00471CD1" w:rsidRDefault="00471CD1" w:rsidP="00471CD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25.328,64 kn</w:t>
            </w:r>
          </w:p>
        </w:tc>
        <w:tc>
          <w:tcPr>
            <w:tcW w:w="2127" w:type="dxa"/>
          </w:tcPr>
          <w:p w14:paraId="2E18B3BB" w14:textId="1D4D5BA3" w:rsidR="00471CD1" w:rsidRDefault="00471CD1" w:rsidP="00471CD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KODEKS d.o.o.</w:t>
            </w:r>
          </w:p>
        </w:tc>
        <w:tc>
          <w:tcPr>
            <w:tcW w:w="1984" w:type="dxa"/>
          </w:tcPr>
          <w:p w14:paraId="04B3C97B" w14:textId="3BC136BC" w:rsidR="00471CD1" w:rsidRPr="00BD5341" w:rsidRDefault="00471CD1" w:rsidP="00471CD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00451E2C" w14:textId="7E5D9ED0" w:rsidR="00471CD1" w:rsidRDefault="00471CD1" w:rsidP="00471CD1">
            <w:pPr>
              <w:jc w:val="center"/>
              <w:rPr>
                <w:sz w:val="18"/>
                <w:szCs w:val="18"/>
              </w:rPr>
            </w:pPr>
            <w:r w:rsidRPr="001D5145">
              <w:rPr>
                <w:rFonts w:ascii="Times New Roman" w:hAnsi="Times New Roman" w:cs="Times New Roman"/>
                <w:sz w:val="18"/>
                <w:szCs w:val="18"/>
              </w:rPr>
              <w:t>22.09.2025.</w:t>
            </w:r>
          </w:p>
        </w:tc>
        <w:tc>
          <w:tcPr>
            <w:tcW w:w="2269" w:type="dxa"/>
          </w:tcPr>
          <w:p w14:paraId="76A33115" w14:textId="68A28D91" w:rsidR="00471CD1" w:rsidRPr="00BD5341" w:rsidRDefault="00471CD1" w:rsidP="00471CD1">
            <w:pPr>
              <w:jc w:val="center"/>
              <w:rPr>
                <w:sz w:val="18"/>
                <w:szCs w:val="18"/>
              </w:rPr>
            </w:pPr>
            <w:r w:rsidRPr="00A83150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471CD1" w:rsidRPr="00DA2E87" w14:paraId="3E40B8FF" w14:textId="77777777" w:rsidTr="002A317F">
        <w:trPr>
          <w:trHeight w:val="393"/>
        </w:trPr>
        <w:tc>
          <w:tcPr>
            <w:tcW w:w="817" w:type="dxa"/>
          </w:tcPr>
          <w:p w14:paraId="4379F865" w14:textId="7937962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276" w:type="dxa"/>
          </w:tcPr>
          <w:p w14:paraId="393B0AA4" w14:textId="01744D12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25.09.2020.</w:t>
            </w:r>
          </w:p>
        </w:tc>
        <w:tc>
          <w:tcPr>
            <w:tcW w:w="3259" w:type="dxa"/>
          </w:tcPr>
          <w:p w14:paraId="29140827" w14:textId="2F5CF253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41">
              <w:rPr>
                <w:rFonts w:ascii="Times New Roman" w:hAnsi="Times New Roman" w:cs="Times New Roman"/>
                <w:sz w:val="18"/>
                <w:szCs w:val="18"/>
              </w:rPr>
              <w:t xml:space="preserve">Bankovna garancija br. </w:t>
            </w:r>
            <w:r w:rsidRPr="00296F2E">
              <w:rPr>
                <w:rFonts w:ascii="Times New Roman" w:hAnsi="Times New Roman" w:cs="Times New Roman"/>
                <w:sz w:val="18"/>
                <w:szCs w:val="18"/>
              </w:rPr>
              <w:t>2004005150</w:t>
            </w:r>
          </w:p>
        </w:tc>
        <w:tc>
          <w:tcPr>
            <w:tcW w:w="1842" w:type="dxa"/>
          </w:tcPr>
          <w:p w14:paraId="00897A17" w14:textId="0C365E7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39.994,68 kn</w:t>
            </w:r>
          </w:p>
        </w:tc>
        <w:tc>
          <w:tcPr>
            <w:tcW w:w="2127" w:type="dxa"/>
          </w:tcPr>
          <w:p w14:paraId="351D877E" w14:textId="7EA9FB9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GDi d.o.o.</w:t>
            </w:r>
          </w:p>
        </w:tc>
        <w:tc>
          <w:tcPr>
            <w:tcW w:w="1984" w:type="dxa"/>
          </w:tcPr>
          <w:p w14:paraId="48E3BD06" w14:textId="18136BF7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41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63D762C3" w14:textId="706996F7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31.07.2021.</w:t>
            </w:r>
          </w:p>
        </w:tc>
        <w:tc>
          <w:tcPr>
            <w:tcW w:w="2269" w:type="dxa"/>
          </w:tcPr>
          <w:p w14:paraId="58F4B140" w14:textId="07D1B267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41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471CD1" w:rsidRPr="00DA2E87" w14:paraId="4DF7ABD4" w14:textId="77777777" w:rsidTr="002A317F">
        <w:trPr>
          <w:trHeight w:val="427"/>
        </w:trPr>
        <w:tc>
          <w:tcPr>
            <w:tcW w:w="817" w:type="dxa"/>
          </w:tcPr>
          <w:p w14:paraId="5405D2D2" w14:textId="6317E3A6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276" w:type="dxa"/>
          </w:tcPr>
          <w:p w14:paraId="7E75A75D" w14:textId="5E848C92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30.09.2020.</w:t>
            </w:r>
          </w:p>
        </w:tc>
        <w:tc>
          <w:tcPr>
            <w:tcW w:w="3259" w:type="dxa"/>
          </w:tcPr>
          <w:p w14:paraId="02A29C44" w14:textId="24012579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175">
              <w:rPr>
                <w:rFonts w:ascii="Times New Roman" w:hAnsi="Times New Roman" w:cs="Times New Roman"/>
                <w:sz w:val="18"/>
                <w:szCs w:val="18"/>
              </w:rPr>
              <w:t xml:space="preserve">Bankovna garancija br.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120-49-158308</w:t>
            </w:r>
          </w:p>
        </w:tc>
        <w:tc>
          <w:tcPr>
            <w:tcW w:w="1842" w:type="dxa"/>
          </w:tcPr>
          <w:p w14:paraId="33518B62" w14:textId="4350A909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58.914,12 kn</w:t>
            </w:r>
          </w:p>
        </w:tc>
        <w:tc>
          <w:tcPr>
            <w:tcW w:w="2127" w:type="dxa"/>
          </w:tcPr>
          <w:p w14:paraId="5A5D0EA9" w14:textId="0A5DCAE8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E9D">
              <w:rPr>
                <w:rFonts w:ascii="Times New Roman" w:hAnsi="Times New Roman" w:cs="Times New Roman"/>
                <w:sz w:val="18"/>
                <w:szCs w:val="18"/>
              </w:rPr>
              <w:t>S&amp;T Hrvatska d.o.o.</w:t>
            </w:r>
          </w:p>
        </w:tc>
        <w:tc>
          <w:tcPr>
            <w:tcW w:w="1984" w:type="dxa"/>
          </w:tcPr>
          <w:p w14:paraId="3F0854FE" w14:textId="1E5C1EB6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41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3DB167D2" w14:textId="259693AC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01.08.2021.</w:t>
            </w:r>
          </w:p>
        </w:tc>
        <w:tc>
          <w:tcPr>
            <w:tcW w:w="2269" w:type="dxa"/>
          </w:tcPr>
          <w:p w14:paraId="59E8AB12" w14:textId="0C37C8A2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41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471CD1" w:rsidRPr="00DA2E87" w14:paraId="23E065E5" w14:textId="77777777" w:rsidTr="002A317F">
        <w:trPr>
          <w:trHeight w:val="387"/>
        </w:trPr>
        <w:tc>
          <w:tcPr>
            <w:tcW w:w="817" w:type="dxa"/>
          </w:tcPr>
          <w:p w14:paraId="3187B923" w14:textId="7393DCA0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76" w:type="dxa"/>
          </w:tcPr>
          <w:p w14:paraId="3ED63461" w14:textId="7D877FF5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30.12.2020.</w:t>
            </w:r>
          </w:p>
        </w:tc>
        <w:tc>
          <w:tcPr>
            <w:tcW w:w="3259" w:type="dxa"/>
          </w:tcPr>
          <w:p w14:paraId="3AA43DB6" w14:textId="34A529E6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Zadužnica poslovni</w:t>
            </w:r>
            <w:r w:rsidRPr="00E11FA7">
              <w:rPr>
                <w:rFonts w:ascii="Times New Roman" w:hAnsi="Times New Roman" w:cs="Times New Roman"/>
                <w:sz w:val="18"/>
                <w:szCs w:val="18"/>
              </w:rPr>
              <w:t xml:space="preserve"> br. OV-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12272</w:t>
            </w:r>
            <w:r w:rsidRPr="00E11FA7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14:paraId="49E04C1A" w14:textId="5B3C49C5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165.366,00 kn</w:t>
            </w:r>
          </w:p>
        </w:tc>
        <w:tc>
          <w:tcPr>
            <w:tcW w:w="2127" w:type="dxa"/>
          </w:tcPr>
          <w:p w14:paraId="3CD46B3F" w14:textId="61507EDF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Mjerne tehnologije d.o.o.</w:t>
            </w:r>
          </w:p>
        </w:tc>
        <w:tc>
          <w:tcPr>
            <w:tcW w:w="1984" w:type="dxa"/>
          </w:tcPr>
          <w:p w14:paraId="3C2315A5" w14:textId="31BA2E72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41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290238E7" w14:textId="33D18B9C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81E">
              <w:rPr>
                <w:rFonts w:ascii="Times New Roman" w:hAnsi="Times New Roman" w:cs="Times New Roman"/>
                <w:sz w:val="18"/>
                <w:szCs w:val="18"/>
              </w:rPr>
              <w:t>30.12.2021.</w:t>
            </w:r>
          </w:p>
        </w:tc>
        <w:tc>
          <w:tcPr>
            <w:tcW w:w="2269" w:type="dxa"/>
          </w:tcPr>
          <w:p w14:paraId="554DC737" w14:textId="6FE549F1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41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471CD1" w:rsidRPr="00DA2E87" w14:paraId="403E8504" w14:textId="77777777" w:rsidTr="002A317F">
        <w:trPr>
          <w:trHeight w:val="421"/>
        </w:trPr>
        <w:tc>
          <w:tcPr>
            <w:tcW w:w="817" w:type="dxa"/>
          </w:tcPr>
          <w:p w14:paraId="72B1BEA8" w14:textId="77777777" w:rsidR="00471CD1" w:rsidRPr="00DA2E87" w:rsidRDefault="00471CD1" w:rsidP="0047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7EC2347" w14:textId="77777777" w:rsidR="00471CD1" w:rsidRPr="00DA2E87" w:rsidRDefault="00471CD1" w:rsidP="0047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9" w:type="dxa"/>
          </w:tcPr>
          <w:p w14:paraId="2912122B" w14:textId="5BB12085" w:rsidR="00471CD1" w:rsidRPr="00AC5FAF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FAF">
              <w:rPr>
                <w:rFonts w:ascii="Times New Roman" w:hAnsi="Times New Roman" w:cs="Times New Roman"/>
                <w:b/>
                <w:sz w:val="22"/>
                <w:szCs w:val="22"/>
              </w:rPr>
              <w:t>UKUPNO</w:t>
            </w:r>
          </w:p>
        </w:tc>
        <w:tc>
          <w:tcPr>
            <w:tcW w:w="1842" w:type="dxa"/>
          </w:tcPr>
          <w:p w14:paraId="354FB804" w14:textId="7B1D817F" w:rsidR="00471CD1" w:rsidRPr="00AC5FAF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FAF">
              <w:rPr>
                <w:rFonts w:ascii="Times New Roman" w:hAnsi="Times New Roman" w:cs="Times New Roman"/>
                <w:b/>
                <w:sz w:val="22"/>
                <w:szCs w:val="22"/>
              </w:rPr>
              <w:t>6.923.810,77 kn</w:t>
            </w:r>
          </w:p>
        </w:tc>
        <w:tc>
          <w:tcPr>
            <w:tcW w:w="2127" w:type="dxa"/>
          </w:tcPr>
          <w:p w14:paraId="4E53345D" w14:textId="77777777" w:rsidR="00471CD1" w:rsidRPr="00DA2E87" w:rsidRDefault="00471CD1" w:rsidP="0047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90CB57D" w14:textId="77777777" w:rsidR="00471CD1" w:rsidRPr="00DA2E87" w:rsidRDefault="00471CD1" w:rsidP="0047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79B7738" w14:textId="77777777" w:rsidR="00471CD1" w:rsidRPr="00DA2E87" w:rsidRDefault="00471CD1" w:rsidP="0047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12396E06" w14:textId="77777777" w:rsidR="00471CD1" w:rsidRPr="00DA2E87" w:rsidRDefault="00471CD1" w:rsidP="00471CD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4FB4CFF" w14:textId="77777777" w:rsidR="00E53520" w:rsidRPr="00DA2E87" w:rsidRDefault="00E53520" w:rsidP="00C8272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A2E87">
        <w:rPr>
          <w:rFonts w:eastAsiaTheme="minorHAnsi"/>
          <w:b/>
          <w:sz w:val="28"/>
          <w:szCs w:val="28"/>
          <w:lang w:eastAsia="en-US"/>
        </w:rPr>
        <w:lastRenderedPageBreak/>
        <w:t>POPIS SUDSKIH SPOROVA U TIJEKU</w:t>
      </w:r>
    </w:p>
    <w:p w14:paraId="67C5B5FD" w14:textId="77777777" w:rsidR="00E53520" w:rsidRPr="00DA2E87" w:rsidRDefault="00E53520" w:rsidP="00E5352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6E3A5B8" w14:textId="77777777" w:rsidR="00E53520" w:rsidRPr="00DA2E87" w:rsidRDefault="00E53520" w:rsidP="00E5352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TableGrid4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1560"/>
        <w:gridCol w:w="1842"/>
        <w:gridCol w:w="4570"/>
      </w:tblGrid>
      <w:tr w:rsidR="00E53520" w:rsidRPr="00DA2E87" w14:paraId="019E3B33" w14:textId="77777777" w:rsidTr="00ED5791">
        <w:tc>
          <w:tcPr>
            <w:tcW w:w="675" w:type="dxa"/>
            <w:shd w:val="clear" w:color="auto" w:fill="D9D9D9" w:themeFill="background1" w:themeFillShade="D9"/>
          </w:tcPr>
          <w:p w14:paraId="06595286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Red.</w:t>
            </w:r>
          </w:p>
          <w:p w14:paraId="2BBF8784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br.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DBEAC91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Sudska oznaka predmeta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6EF19CE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Vrsta tužbenog zahtjeva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DBDD9A9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Procjena financijskog učinka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75422D4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Tuženik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1C8F136" w14:textId="551F17B2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Tužitelj/</w:t>
            </w:r>
            <w:proofErr w:type="spellStart"/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ica</w:t>
            </w:r>
            <w:proofErr w:type="spellEnd"/>
            <w:r w:rsidR="00C82726">
              <w:rPr>
                <w:rStyle w:val="FootnoteReference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</w:tc>
        <w:tc>
          <w:tcPr>
            <w:tcW w:w="4570" w:type="dxa"/>
            <w:shd w:val="clear" w:color="auto" w:fill="D9D9D9" w:themeFill="background1" w:themeFillShade="D9"/>
          </w:tcPr>
          <w:p w14:paraId="24DA886C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Tijek postupka/</w:t>
            </w:r>
          </w:p>
          <w:p w14:paraId="6EB06EF9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Procijenjeno vrijeme priljeva i odljeva sredstava</w:t>
            </w:r>
          </w:p>
        </w:tc>
      </w:tr>
      <w:tr w:rsidR="005E30C0" w:rsidRPr="00DA2E87" w14:paraId="4FEFADA1" w14:textId="77777777" w:rsidTr="00ED5791">
        <w:trPr>
          <w:trHeight w:val="1587"/>
        </w:trPr>
        <w:tc>
          <w:tcPr>
            <w:tcW w:w="675" w:type="dxa"/>
          </w:tcPr>
          <w:p w14:paraId="2E51C701" w14:textId="48DA2A4A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14:paraId="199FA234" w14:textId="77777777" w:rsidR="005E30C0" w:rsidRPr="00B12C66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>Klasa:</w:t>
            </w:r>
            <w:r w:rsidRPr="00B12C66">
              <w:t xml:space="preserve"> </w:t>
            </w: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>114-02/14-01/06</w:t>
            </w:r>
          </w:p>
          <w:p w14:paraId="1C1E5A78" w14:textId="77777777" w:rsidR="005E30C0" w:rsidRPr="00B12C66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>Pr-1823/2014</w:t>
            </w:r>
          </w:p>
          <w:p w14:paraId="53815C33" w14:textId="77777777" w:rsidR="005E30C0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2C66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 w:rsidRPr="00B12C66">
              <w:rPr>
                <w:rFonts w:ascii="Times New Roman" w:hAnsi="Times New Roman" w:cs="Times New Roman"/>
                <w:sz w:val="18"/>
                <w:szCs w:val="18"/>
              </w:rPr>
              <w:t xml:space="preserve"> R-783/2017</w:t>
            </w:r>
          </w:p>
          <w:p w14:paraId="7001ABBA" w14:textId="24BAE99E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AB8">
              <w:rPr>
                <w:rFonts w:ascii="Times New Roman" w:hAnsi="Times New Roman" w:cs="Times New Roman"/>
                <w:sz w:val="18"/>
                <w:szCs w:val="18"/>
              </w:rPr>
              <w:t>Rev-154/2019</w:t>
            </w:r>
          </w:p>
        </w:tc>
        <w:tc>
          <w:tcPr>
            <w:tcW w:w="1984" w:type="dxa"/>
          </w:tcPr>
          <w:p w14:paraId="0EFFD3C6" w14:textId="77777777" w:rsidR="005E30C0" w:rsidRPr="00B12C66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4C766A85" w14:textId="076C1D6A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>(radi nedopuštenosti otkaza, diskriminacije i uznemiravanja)</w:t>
            </w:r>
          </w:p>
        </w:tc>
        <w:tc>
          <w:tcPr>
            <w:tcW w:w="2126" w:type="dxa"/>
          </w:tcPr>
          <w:p w14:paraId="75E15D8F" w14:textId="786958F6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22">
              <w:rPr>
                <w:rFonts w:ascii="Times New Roman" w:hAnsi="Times New Roman" w:cs="Times New Roman"/>
                <w:sz w:val="18"/>
                <w:szCs w:val="18"/>
              </w:rPr>
              <w:t>30.000,00 kn</w:t>
            </w:r>
          </w:p>
        </w:tc>
        <w:tc>
          <w:tcPr>
            <w:tcW w:w="1560" w:type="dxa"/>
          </w:tcPr>
          <w:p w14:paraId="61CF30B5" w14:textId="59FBA7F6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648C7009" w14:textId="308E5C3B" w:rsidR="005E30C0" w:rsidRPr="00DA2E87" w:rsidRDefault="0094310D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XY-1</w:t>
            </w:r>
          </w:p>
        </w:tc>
        <w:tc>
          <w:tcPr>
            <w:tcW w:w="4570" w:type="dxa"/>
          </w:tcPr>
          <w:p w14:paraId="51DF4756" w14:textId="77777777" w:rsidR="005E30C0" w:rsidRPr="00527F22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08.06.2017. – </w:t>
            </w:r>
            <w:r w:rsidRPr="00527F22">
              <w:rPr>
                <w:rFonts w:ascii="Times New Roman" w:hAnsi="Times New Roman" w:cs="Times New Roman"/>
                <w:sz w:val="18"/>
                <w:szCs w:val="18"/>
              </w:rPr>
              <w:t>presuda Općinskog radnog suda u Zagrebu,</w:t>
            </w:r>
          </w:p>
          <w:p w14:paraId="7DC085AE" w14:textId="77777777" w:rsidR="005E30C0" w:rsidRPr="00527F22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14.06.2017. – </w:t>
            </w:r>
            <w:r w:rsidRPr="00527F22">
              <w:rPr>
                <w:rFonts w:ascii="Times New Roman" w:hAnsi="Times New Roman" w:cs="Times New Roman"/>
                <w:sz w:val="18"/>
                <w:szCs w:val="18"/>
              </w:rPr>
              <w:t>izjavljene žalbe HAKOM-a i tužiteljice,</w:t>
            </w:r>
          </w:p>
          <w:p w14:paraId="5DD56370" w14:textId="77777777" w:rsidR="005E30C0" w:rsidRPr="00527F22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13.09.2018. – </w:t>
            </w:r>
            <w:r w:rsidRPr="00527F22">
              <w:rPr>
                <w:rFonts w:ascii="Times New Roman" w:hAnsi="Times New Roman" w:cs="Times New Roman"/>
                <w:sz w:val="18"/>
                <w:szCs w:val="18"/>
              </w:rPr>
              <w:t>Županijski sud u Splitu odbio žalbe i potvrdio prvostupanjsku presudu,</w:t>
            </w:r>
          </w:p>
          <w:p w14:paraId="5E54AA02" w14:textId="77777777" w:rsidR="005E30C0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7F22">
              <w:rPr>
                <w:rFonts w:ascii="Times New Roman" w:hAnsi="Times New Roman" w:cs="Times New Roman"/>
                <w:sz w:val="18"/>
                <w:szCs w:val="18"/>
              </w:rPr>
              <w:t>26.11.2018. – izjavljena revizija tužiteljice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0B0543" w14:textId="77777777" w:rsidR="005E30C0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4A4A">
              <w:rPr>
                <w:rFonts w:ascii="Times New Roman" w:hAnsi="Times New Roman" w:cs="Times New Roman"/>
                <w:sz w:val="18"/>
                <w:szCs w:val="18"/>
              </w:rPr>
              <w:t>14.01.2019.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Vrhovni sud Republike Hrvatske,</w:t>
            </w:r>
          </w:p>
          <w:p w14:paraId="6B91B593" w14:textId="4ED5C2D1" w:rsidR="005E30C0" w:rsidRPr="00DA2E87" w:rsidRDefault="005E30C0" w:rsidP="005E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2021. – </w:t>
            </w:r>
            <w:r w:rsidRPr="007A5A3F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5E30C0" w:rsidRPr="00DA2E87" w14:paraId="409FCAB3" w14:textId="77777777" w:rsidTr="00ED5791">
        <w:trPr>
          <w:trHeight w:val="1539"/>
        </w:trPr>
        <w:tc>
          <w:tcPr>
            <w:tcW w:w="675" w:type="dxa"/>
          </w:tcPr>
          <w:p w14:paraId="38E4E29D" w14:textId="7BC6EBF6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127" w:type="dxa"/>
          </w:tcPr>
          <w:p w14:paraId="3F1828B0" w14:textId="77777777" w:rsidR="005E30C0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Klasa: 114-02/14-01/10</w:t>
            </w:r>
          </w:p>
          <w:p w14:paraId="1CDDC0CE" w14:textId="77777777" w:rsidR="005E30C0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3A">
              <w:rPr>
                <w:rFonts w:ascii="Times New Roman" w:hAnsi="Times New Roman" w:cs="Times New Roman"/>
                <w:sz w:val="18"/>
                <w:szCs w:val="18"/>
              </w:rPr>
              <w:t>Pr-9642/2014</w:t>
            </w:r>
          </w:p>
          <w:p w14:paraId="023A62A6" w14:textId="77777777" w:rsidR="005E30C0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7439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7439">
              <w:rPr>
                <w:rFonts w:ascii="Times New Roman" w:hAnsi="Times New Roman" w:cs="Times New Roman"/>
                <w:sz w:val="18"/>
                <w:szCs w:val="18"/>
              </w:rPr>
              <w:t>R-2241/2016</w:t>
            </w:r>
          </w:p>
          <w:p w14:paraId="60D7418D" w14:textId="14E73C8B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423">
              <w:rPr>
                <w:rFonts w:ascii="Times New Roman" w:hAnsi="Times New Roman" w:cs="Times New Roman"/>
                <w:sz w:val="18"/>
                <w:szCs w:val="18"/>
              </w:rPr>
              <w:t>Revr-501/2018</w:t>
            </w:r>
          </w:p>
        </w:tc>
        <w:tc>
          <w:tcPr>
            <w:tcW w:w="1984" w:type="dxa"/>
          </w:tcPr>
          <w:p w14:paraId="3CFA9AC2" w14:textId="588BBA5E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8B3C3A">
              <w:rPr>
                <w:rFonts w:ascii="Times New Roman" w:hAnsi="Times New Roman" w:cs="Times New Roman"/>
                <w:sz w:val="18"/>
                <w:szCs w:val="18"/>
              </w:rPr>
              <w:t>adi isplate</w:t>
            </w:r>
          </w:p>
        </w:tc>
        <w:tc>
          <w:tcPr>
            <w:tcW w:w="2126" w:type="dxa"/>
          </w:tcPr>
          <w:p w14:paraId="750FEAD3" w14:textId="69B2DF1A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3A">
              <w:rPr>
                <w:rFonts w:ascii="Times New Roman" w:hAnsi="Times New Roman" w:cs="Times New Roman"/>
                <w:sz w:val="18"/>
                <w:szCs w:val="18"/>
              </w:rPr>
              <w:t>92.612,73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kn</w:t>
            </w:r>
          </w:p>
        </w:tc>
        <w:tc>
          <w:tcPr>
            <w:tcW w:w="1560" w:type="dxa"/>
          </w:tcPr>
          <w:p w14:paraId="7EB0A57F" w14:textId="5E5B257C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FF7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59C9FB49" w14:textId="0794DC3E" w:rsidR="005E30C0" w:rsidRPr="00DA2E87" w:rsidRDefault="0094310D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XY-2</w:t>
            </w:r>
          </w:p>
        </w:tc>
        <w:tc>
          <w:tcPr>
            <w:tcW w:w="4570" w:type="dxa"/>
          </w:tcPr>
          <w:p w14:paraId="6894FC02" w14:textId="77777777" w:rsidR="005E30C0" w:rsidRPr="004B380E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29.09.2016. – </w:t>
            </w:r>
            <w:r w:rsidRPr="004B380E">
              <w:rPr>
                <w:rFonts w:ascii="Times New Roman" w:hAnsi="Times New Roman" w:cs="Times New Roman"/>
                <w:sz w:val="18"/>
                <w:szCs w:val="18"/>
              </w:rPr>
              <w:t>presuda Općinskog radnog suda u Zagrebu,</w:t>
            </w:r>
          </w:p>
          <w:p w14:paraId="3694D2B6" w14:textId="77777777" w:rsidR="005E30C0" w:rsidRPr="004B380E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03.10.2016. – </w:t>
            </w:r>
            <w:r w:rsidRPr="004B380E">
              <w:rPr>
                <w:rFonts w:ascii="Times New Roman" w:hAnsi="Times New Roman" w:cs="Times New Roman"/>
                <w:sz w:val="18"/>
                <w:szCs w:val="18"/>
              </w:rPr>
              <w:t>izjavljena žalba tužitelja,</w:t>
            </w:r>
          </w:p>
          <w:p w14:paraId="06645EDF" w14:textId="77777777" w:rsidR="005E30C0" w:rsidRPr="004B380E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02.02.2018. – </w:t>
            </w:r>
            <w:r w:rsidRPr="004B380E">
              <w:rPr>
                <w:rFonts w:ascii="Times New Roman" w:hAnsi="Times New Roman" w:cs="Times New Roman"/>
                <w:sz w:val="18"/>
                <w:szCs w:val="18"/>
              </w:rPr>
              <w:t>Županijski sud u Zagrebu odbio žalbu tužitelja i potvrdio prvostupanjsku presudu,</w:t>
            </w:r>
          </w:p>
          <w:p w14:paraId="539840D1" w14:textId="77777777" w:rsidR="005E30C0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15.05.2018. – </w:t>
            </w:r>
            <w:r w:rsidRPr="004B380E">
              <w:rPr>
                <w:rFonts w:ascii="Times New Roman" w:hAnsi="Times New Roman" w:cs="Times New Roman"/>
                <w:sz w:val="18"/>
                <w:szCs w:val="18"/>
              </w:rPr>
              <w:t>izjavljena revizija tužitelja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2FB676C" w14:textId="77777777" w:rsidR="005E30C0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EC6">
              <w:rPr>
                <w:rFonts w:ascii="Times New Roman" w:hAnsi="Times New Roman" w:cs="Times New Roman"/>
                <w:sz w:val="18"/>
                <w:szCs w:val="18"/>
              </w:rPr>
              <w:t>15.05.2018.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–Vrhovni sud Republike Hrvatske,</w:t>
            </w:r>
          </w:p>
          <w:p w14:paraId="31D7D8AA" w14:textId="51BB5760" w:rsidR="005E30C0" w:rsidRPr="00DA2E87" w:rsidRDefault="005E30C0" w:rsidP="005E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2021. – </w:t>
            </w: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5E30C0" w:rsidRPr="00DA2E87" w14:paraId="0E2ADAD9" w14:textId="77777777" w:rsidTr="00ED5791">
        <w:trPr>
          <w:trHeight w:val="711"/>
        </w:trPr>
        <w:tc>
          <w:tcPr>
            <w:tcW w:w="675" w:type="dxa"/>
          </w:tcPr>
          <w:p w14:paraId="4D2FFFCE" w14:textId="64894AAA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2127" w:type="dxa"/>
          </w:tcPr>
          <w:p w14:paraId="2F4F80E3" w14:textId="77777777" w:rsidR="005E30C0" w:rsidRPr="00795322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>Klasa: 114-02/17-01/03</w:t>
            </w:r>
          </w:p>
          <w:p w14:paraId="43E2FB28" w14:textId="1810456F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>Pr-1201/2017</w:t>
            </w:r>
          </w:p>
        </w:tc>
        <w:tc>
          <w:tcPr>
            <w:tcW w:w="1984" w:type="dxa"/>
          </w:tcPr>
          <w:p w14:paraId="32A152B7" w14:textId="77777777" w:rsidR="005E30C0" w:rsidRPr="00795322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6102AAC5" w14:textId="71EEFC3C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>(radi diskriminacije)</w:t>
            </w:r>
          </w:p>
        </w:tc>
        <w:tc>
          <w:tcPr>
            <w:tcW w:w="2126" w:type="dxa"/>
          </w:tcPr>
          <w:p w14:paraId="3E5E387C" w14:textId="1F0C0CB6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>47.035,42 kn</w:t>
            </w:r>
          </w:p>
        </w:tc>
        <w:tc>
          <w:tcPr>
            <w:tcW w:w="1560" w:type="dxa"/>
          </w:tcPr>
          <w:p w14:paraId="3FA9BC9F" w14:textId="237FDC68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78A5A115" w14:textId="367D777B" w:rsidR="005E30C0" w:rsidRPr="00DA2E87" w:rsidRDefault="0094310D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XY-3</w:t>
            </w:r>
          </w:p>
        </w:tc>
        <w:tc>
          <w:tcPr>
            <w:tcW w:w="4570" w:type="dxa"/>
          </w:tcPr>
          <w:p w14:paraId="22FA6965" w14:textId="77777777" w:rsidR="005E30C0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23.06.2017. – tužba – </w:t>
            </w:r>
            <w:r w:rsidRPr="00622C3D">
              <w:rPr>
                <w:rFonts w:ascii="Times New Roman" w:hAnsi="Times New Roman" w:cs="Times New Roman"/>
                <w:sz w:val="18"/>
                <w:szCs w:val="18"/>
              </w:rPr>
              <w:t>prvostupanjski postupak u tijeku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22C3D">
              <w:rPr>
                <w:rFonts w:ascii="Times New Roman" w:hAnsi="Times New Roman" w:cs="Times New Roman"/>
                <w:sz w:val="18"/>
                <w:szCs w:val="18"/>
              </w:rPr>
              <w:t>Općinski radni sud u Zagrebu,</w:t>
            </w:r>
          </w:p>
          <w:p w14:paraId="7BAA074D" w14:textId="77777777" w:rsidR="005E30C0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031">
              <w:rPr>
                <w:rFonts w:ascii="Times New Roman" w:hAnsi="Times New Roman" w:cs="Times New Roman"/>
                <w:sz w:val="18"/>
                <w:szCs w:val="18"/>
              </w:rPr>
              <w:t>05.02.2021.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zakazana rasprava,</w:t>
            </w:r>
          </w:p>
          <w:p w14:paraId="72C1C18B" w14:textId="44E71D58" w:rsidR="005E30C0" w:rsidRPr="00DA2E87" w:rsidRDefault="005E30C0" w:rsidP="005E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2021. – </w:t>
            </w:r>
            <w:r w:rsidRPr="00622C3D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5E30C0" w:rsidRPr="00DA2E87" w14:paraId="60E90AA2" w14:textId="77777777" w:rsidTr="00ED5791">
        <w:trPr>
          <w:trHeight w:val="1118"/>
        </w:trPr>
        <w:tc>
          <w:tcPr>
            <w:tcW w:w="675" w:type="dxa"/>
          </w:tcPr>
          <w:p w14:paraId="1D1A794C" w14:textId="2B747C4A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2127" w:type="dxa"/>
          </w:tcPr>
          <w:p w14:paraId="21232666" w14:textId="77777777" w:rsidR="005E30C0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CB">
              <w:rPr>
                <w:rFonts w:ascii="Times New Roman" w:hAnsi="Times New Roman" w:cs="Times New Roman"/>
                <w:sz w:val="18"/>
                <w:szCs w:val="18"/>
              </w:rPr>
              <w:t>Klasa: 114-02/1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20CCB">
              <w:rPr>
                <w:rFonts w:ascii="Times New Roman" w:hAnsi="Times New Roman" w:cs="Times New Roman"/>
                <w:sz w:val="18"/>
                <w:szCs w:val="18"/>
              </w:rPr>
              <w:t>-01/0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021209" w14:textId="5C84EC3F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Pr-1141/2016</w:t>
            </w:r>
          </w:p>
        </w:tc>
        <w:tc>
          <w:tcPr>
            <w:tcW w:w="1984" w:type="dxa"/>
          </w:tcPr>
          <w:p w14:paraId="1EDC1C75" w14:textId="77777777" w:rsidR="005E30C0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0AB323FF" w14:textId="7D3C6B93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(r</w:t>
            </w:r>
            <w:r w:rsidRPr="00BF546B">
              <w:rPr>
                <w:rFonts w:ascii="Times New Roman" w:hAnsi="Times New Roman" w:cs="Times New Roman"/>
                <w:sz w:val="18"/>
                <w:szCs w:val="18"/>
              </w:rPr>
              <w:t>adi diskriminacije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1578A982" w14:textId="6B7F5AD9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240.800,00 kn</w:t>
            </w:r>
          </w:p>
        </w:tc>
        <w:tc>
          <w:tcPr>
            <w:tcW w:w="1560" w:type="dxa"/>
          </w:tcPr>
          <w:p w14:paraId="510B98B9" w14:textId="4C106542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9C8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17B11FE1" w14:textId="4A1319CE" w:rsidR="005E30C0" w:rsidRPr="00DA2E87" w:rsidRDefault="0094310D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XY-4</w:t>
            </w:r>
          </w:p>
        </w:tc>
        <w:tc>
          <w:tcPr>
            <w:tcW w:w="4570" w:type="dxa"/>
          </w:tcPr>
          <w:p w14:paraId="48DD36A0" w14:textId="77777777" w:rsidR="005E30C0" w:rsidRPr="00D75BF3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5BF3">
              <w:rPr>
                <w:rFonts w:ascii="Times New Roman" w:hAnsi="Times New Roman" w:cs="Times New Roman"/>
                <w:sz w:val="18"/>
                <w:szCs w:val="18"/>
              </w:rPr>
              <w:t>13.05.2016. – tužba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E3718">
              <w:rPr>
                <w:rFonts w:ascii="Times New Roman" w:hAnsi="Times New Roman" w:cs="Times New Roman"/>
                <w:sz w:val="18"/>
                <w:szCs w:val="18"/>
              </w:rPr>
              <w:t>prvostupanjski postupak u tijeku – Općinski radni sud u Zagrebu,</w:t>
            </w:r>
          </w:p>
          <w:p w14:paraId="70A76560" w14:textId="69856FB7" w:rsidR="005E30C0" w:rsidRPr="00DA2E87" w:rsidRDefault="005E30C0" w:rsidP="005E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BF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– </w:t>
            </w:r>
            <w:r w:rsidRPr="00D75BF3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5E30C0" w:rsidRPr="00DA2E87" w14:paraId="21519F6C" w14:textId="77777777" w:rsidTr="00ED5791">
        <w:trPr>
          <w:trHeight w:val="1158"/>
        </w:trPr>
        <w:tc>
          <w:tcPr>
            <w:tcW w:w="675" w:type="dxa"/>
          </w:tcPr>
          <w:p w14:paraId="6749E54E" w14:textId="22C6FA17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27" w:type="dxa"/>
          </w:tcPr>
          <w:p w14:paraId="12A77D49" w14:textId="77777777" w:rsidR="005E30C0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9B7">
              <w:rPr>
                <w:rFonts w:ascii="Times New Roman" w:hAnsi="Times New Roman" w:cs="Times New Roman"/>
                <w:sz w:val="18"/>
                <w:szCs w:val="18"/>
              </w:rPr>
              <w:t>Klasa: 114-02/1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7-01/04</w:t>
            </w:r>
          </w:p>
          <w:p w14:paraId="1D9D3056" w14:textId="3E7E037B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6B">
              <w:rPr>
                <w:rFonts w:ascii="Times New Roman" w:hAnsi="Times New Roman" w:cs="Times New Roman"/>
                <w:sz w:val="18"/>
                <w:szCs w:val="18"/>
              </w:rPr>
              <w:t>Pr-1551/2017</w:t>
            </w:r>
          </w:p>
        </w:tc>
        <w:tc>
          <w:tcPr>
            <w:tcW w:w="1984" w:type="dxa"/>
          </w:tcPr>
          <w:p w14:paraId="6EB77BF9" w14:textId="77777777" w:rsidR="005E30C0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BC7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5DC624AD" w14:textId="101BEAD5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BC7">
              <w:rPr>
                <w:rFonts w:ascii="Times New Roman" w:hAnsi="Times New Roman" w:cs="Times New Roman"/>
                <w:sz w:val="18"/>
                <w:szCs w:val="18"/>
              </w:rPr>
              <w:t>(radi nedopuštenosti otkaza)</w:t>
            </w:r>
          </w:p>
        </w:tc>
        <w:tc>
          <w:tcPr>
            <w:tcW w:w="2126" w:type="dxa"/>
          </w:tcPr>
          <w:p w14:paraId="1A0CAC19" w14:textId="77777777" w:rsidR="005E30C0" w:rsidRPr="00F32FF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1"/>
            <w:r>
              <w:rPr>
                <w:rFonts w:ascii="Times New Roman" w:hAnsi="Times New Roman" w:cs="Times New Roman"/>
                <w:sz w:val="18"/>
                <w:szCs w:val="18"/>
              </w:rPr>
              <w:t>430.560,00 kn</w:t>
            </w:r>
            <w:bookmarkEnd w:id="1"/>
          </w:p>
          <w:p w14:paraId="019EA2E5" w14:textId="77777777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DBD766" w14:textId="0427936D" w:rsidR="005E30C0" w:rsidRPr="00DA2E87" w:rsidRDefault="005E30C0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9C8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6AC18C34" w14:textId="5E9E909B" w:rsidR="005E30C0" w:rsidRPr="00DA2E87" w:rsidRDefault="0094310D" w:rsidP="005E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XY-5</w:t>
            </w:r>
          </w:p>
        </w:tc>
        <w:tc>
          <w:tcPr>
            <w:tcW w:w="4570" w:type="dxa"/>
          </w:tcPr>
          <w:p w14:paraId="310254D2" w14:textId="77777777" w:rsidR="005E30C0" w:rsidRPr="00610E5E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E5E">
              <w:rPr>
                <w:rFonts w:ascii="Times New Roman" w:hAnsi="Times New Roman" w:cs="Times New Roman"/>
                <w:sz w:val="18"/>
                <w:szCs w:val="18"/>
              </w:rPr>
              <w:t>11.08.2017. – tužba,</w:t>
            </w:r>
          </w:p>
          <w:p w14:paraId="417CD1DB" w14:textId="77777777" w:rsidR="005E30C0" w:rsidRDefault="005E30C0" w:rsidP="005E30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27.09.2018. – </w:t>
            </w:r>
            <w:r w:rsidRPr="00610E5E">
              <w:rPr>
                <w:rFonts w:ascii="Times New Roman" w:hAnsi="Times New Roman" w:cs="Times New Roman"/>
                <w:sz w:val="18"/>
                <w:szCs w:val="18"/>
              </w:rPr>
              <w:t>rješenje Općinskog radnog sud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u Zagrebu – prekid postupka </w:t>
            </w:r>
            <w:r w:rsidRPr="00610E5E">
              <w:rPr>
                <w:rFonts w:ascii="Times New Roman" w:hAnsi="Times New Roman" w:cs="Times New Roman"/>
                <w:sz w:val="18"/>
                <w:szCs w:val="18"/>
              </w:rPr>
              <w:t>do pravomoćnosti postupka koji se vodi po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 poslovnim brojem Pr-1201/2017,</w:t>
            </w:r>
          </w:p>
          <w:p w14:paraId="66854269" w14:textId="6C8BA908" w:rsidR="005E30C0" w:rsidRPr="00DA2E87" w:rsidRDefault="005E30C0" w:rsidP="005E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2021. – </w:t>
            </w:r>
            <w:r w:rsidRPr="00B31FBE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E53520" w:rsidRPr="00DA2E87" w14:paraId="1FB54377" w14:textId="77777777" w:rsidTr="00ED5791">
        <w:tc>
          <w:tcPr>
            <w:tcW w:w="675" w:type="dxa"/>
            <w:shd w:val="clear" w:color="auto" w:fill="D9D9D9" w:themeFill="background1" w:themeFillShade="D9"/>
          </w:tcPr>
          <w:p w14:paraId="535DAD94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Red.</w:t>
            </w:r>
          </w:p>
          <w:p w14:paraId="4BD8DB36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br.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95E754A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Sudska oznaka predmeta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7C68D73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Vrsta tužbenog zahtjeva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2D2807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Procjena financijskog učinka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A6577AC" w14:textId="416C6FEA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Tuženik</w:t>
            </w:r>
            <w:r w:rsidR="009A69C0">
              <w:rPr>
                <w:rStyle w:val="FootnoteReference"/>
                <w:rFonts w:ascii="Times New Roman" w:hAnsi="Times New Roman" w:cs="Times New Roman"/>
                <w:b/>
                <w:sz w:val="22"/>
                <w:szCs w:val="22"/>
              </w:rPr>
              <w:footnoteReference w:id="2"/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1ACE73E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Tužitelj/ica</w:t>
            </w:r>
          </w:p>
        </w:tc>
        <w:tc>
          <w:tcPr>
            <w:tcW w:w="4570" w:type="dxa"/>
            <w:shd w:val="clear" w:color="auto" w:fill="D9D9D9" w:themeFill="background1" w:themeFillShade="D9"/>
          </w:tcPr>
          <w:p w14:paraId="612FDC42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Tijek postupka/</w:t>
            </w:r>
          </w:p>
          <w:p w14:paraId="0421CCAA" w14:textId="77777777" w:rsidR="00E53520" w:rsidRPr="00DA2E87" w:rsidRDefault="00E53520" w:rsidP="00A81D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Procijenjeno vrijeme priljeva i odljeva sredstava</w:t>
            </w:r>
          </w:p>
        </w:tc>
      </w:tr>
      <w:tr w:rsidR="00ED5791" w:rsidRPr="00DA2E87" w14:paraId="185D5A02" w14:textId="77777777" w:rsidTr="00ED5791">
        <w:trPr>
          <w:trHeight w:val="937"/>
        </w:trPr>
        <w:tc>
          <w:tcPr>
            <w:tcW w:w="675" w:type="dxa"/>
          </w:tcPr>
          <w:p w14:paraId="07E9FE6E" w14:textId="07F36309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27" w:type="dxa"/>
            <w:shd w:val="clear" w:color="auto" w:fill="FFFFFF" w:themeFill="background1"/>
          </w:tcPr>
          <w:p w14:paraId="529A0CC5" w14:textId="77777777" w:rsidR="00ED5791" w:rsidRPr="00A20CCB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CB">
              <w:rPr>
                <w:rFonts w:ascii="Times New Roman" w:hAnsi="Times New Roman" w:cs="Times New Roman"/>
                <w:sz w:val="18"/>
                <w:szCs w:val="18"/>
              </w:rPr>
              <w:t>Klasa: 114-02/18-01/04</w:t>
            </w:r>
          </w:p>
          <w:p w14:paraId="7AE8C7C4" w14:textId="77777777" w:rsidR="00ED5791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CB">
              <w:rPr>
                <w:rFonts w:ascii="Times New Roman" w:hAnsi="Times New Roman" w:cs="Times New Roman"/>
                <w:sz w:val="18"/>
                <w:szCs w:val="18"/>
              </w:rPr>
              <w:t>Pr-4809/2018</w:t>
            </w:r>
          </w:p>
          <w:p w14:paraId="4F44A11D" w14:textId="77777777" w:rsidR="00ED5791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A0D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 w:rsidRPr="007D6A0D">
              <w:rPr>
                <w:rFonts w:ascii="Times New Roman" w:hAnsi="Times New Roman" w:cs="Times New Roman"/>
                <w:sz w:val="18"/>
                <w:szCs w:val="18"/>
              </w:rPr>
              <w:t xml:space="preserve"> R-1123/2019</w:t>
            </w:r>
          </w:p>
          <w:p w14:paraId="5AEB7545" w14:textId="16E5B991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3B8">
              <w:rPr>
                <w:rFonts w:ascii="Times New Roman" w:hAnsi="Times New Roman" w:cs="Times New Roman"/>
                <w:sz w:val="18"/>
                <w:szCs w:val="18"/>
              </w:rPr>
              <w:t>Pr-6942/2020</w:t>
            </w:r>
          </w:p>
        </w:tc>
        <w:tc>
          <w:tcPr>
            <w:tcW w:w="1984" w:type="dxa"/>
            <w:shd w:val="clear" w:color="auto" w:fill="FFFFFF" w:themeFill="background1"/>
          </w:tcPr>
          <w:p w14:paraId="30AD6061" w14:textId="77777777" w:rsidR="00ED5791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6FF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66F62336" w14:textId="0657440E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6FF">
              <w:rPr>
                <w:rFonts w:ascii="Times New Roman" w:hAnsi="Times New Roman" w:cs="Times New Roman"/>
                <w:sz w:val="18"/>
                <w:szCs w:val="18"/>
              </w:rPr>
              <w:t>(utvrđenje radnog odnosa)</w:t>
            </w:r>
          </w:p>
        </w:tc>
        <w:tc>
          <w:tcPr>
            <w:tcW w:w="2126" w:type="dxa"/>
            <w:shd w:val="clear" w:color="auto" w:fill="FFFFFF" w:themeFill="background1"/>
          </w:tcPr>
          <w:p w14:paraId="0BB1B041" w14:textId="465D5C28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Nije određena</w:t>
            </w:r>
          </w:p>
        </w:tc>
        <w:tc>
          <w:tcPr>
            <w:tcW w:w="1560" w:type="dxa"/>
            <w:shd w:val="clear" w:color="auto" w:fill="FFFFFF" w:themeFill="background1"/>
          </w:tcPr>
          <w:p w14:paraId="3AC354BA" w14:textId="0C3A0DD4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  <w:shd w:val="clear" w:color="auto" w:fill="FFFFFF" w:themeFill="background1"/>
          </w:tcPr>
          <w:p w14:paraId="7296365D" w14:textId="21B7A0A5" w:rsidR="00ED5791" w:rsidRPr="00DA2E87" w:rsidRDefault="0094310D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XY-6</w:t>
            </w:r>
          </w:p>
        </w:tc>
        <w:tc>
          <w:tcPr>
            <w:tcW w:w="4570" w:type="dxa"/>
            <w:shd w:val="clear" w:color="auto" w:fill="FFFFFF" w:themeFill="background1"/>
          </w:tcPr>
          <w:p w14:paraId="06307F61" w14:textId="77777777" w:rsidR="00ED5791" w:rsidRDefault="00ED5791" w:rsidP="00ED5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16.05.2019. – presuda </w:t>
            </w:r>
            <w:r w:rsidRPr="00F401CC">
              <w:rPr>
                <w:rFonts w:ascii="Times New Roman" w:hAnsi="Times New Roman" w:cs="Times New Roman"/>
                <w:sz w:val="18"/>
                <w:szCs w:val="18"/>
              </w:rPr>
              <w:t>Općinskog radnog suda u Zagrebu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D9357A0" w14:textId="77777777" w:rsidR="00ED5791" w:rsidRDefault="00ED5791" w:rsidP="00ED5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1CC">
              <w:rPr>
                <w:rFonts w:ascii="Times New Roman" w:hAnsi="Times New Roman" w:cs="Times New Roman"/>
                <w:sz w:val="18"/>
                <w:szCs w:val="18"/>
              </w:rPr>
              <w:t>27.05.2019.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izjavljena žalba tužitelja,</w:t>
            </w:r>
          </w:p>
          <w:p w14:paraId="68954F1E" w14:textId="77777777" w:rsidR="00ED5791" w:rsidRDefault="00ED5791" w:rsidP="00ED5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C04">
              <w:rPr>
                <w:rFonts w:ascii="Times New Roman" w:hAnsi="Times New Roman" w:cs="Times New Roman"/>
                <w:sz w:val="18"/>
                <w:szCs w:val="18"/>
              </w:rPr>
              <w:t xml:space="preserve">19.05.2020. – Rješenje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Županijskog suda u Zagrebu </w:t>
            </w:r>
            <w:r w:rsidRPr="00C23C04">
              <w:rPr>
                <w:rFonts w:ascii="Times New Roman" w:hAnsi="Times New Roman" w:cs="Times New Roman"/>
                <w:sz w:val="18"/>
                <w:szCs w:val="18"/>
              </w:rPr>
              <w:t>– ukinuta 1.st. presuda i 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edmet vraćen na ponovno suđenje,</w:t>
            </w:r>
          </w:p>
          <w:p w14:paraId="4309225E" w14:textId="77777777" w:rsidR="00ED5791" w:rsidRDefault="00ED5791" w:rsidP="00ED5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6CB">
              <w:rPr>
                <w:rFonts w:ascii="Times New Roman" w:hAnsi="Times New Roman" w:cs="Times New Roman"/>
                <w:sz w:val="18"/>
                <w:szCs w:val="18"/>
              </w:rPr>
              <w:t>02.03.2021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– zakazana rasprava</w:t>
            </w:r>
          </w:p>
          <w:p w14:paraId="6A429BBC" w14:textId="50783C46" w:rsidR="00ED5791" w:rsidRPr="00DA2E87" w:rsidRDefault="00ED5791" w:rsidP="00ED5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2022. – </w:t>
            </w:r>
            <w:r w:rsidRPr="008D5467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ED5791" w:rsidRPr="00DA2E87" w14:paraId="7AC9C163" w14:textId="77777777" w:rsidTr="00ED5791">
        <w:trPr>
          <w:trHeight w:val="993"/>
        </w:trPr>
        <w:tc>
          <w:tcPr>
            <w:tcW w:w="675" w:type="dxa"/>
          </w:tcPr>
          <w:p w14:paraId="5052C8FB" w14:textId="2353BB87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27" w:type="dxa"/>
            <w:shd w:val="clear" w:color="auto" w:fill="FFFFFF" w:themeFill="background1"/>
          </w:tcPr>
          <w:p w14:paraId="71738CB8" w14:textId="77777777" w:rsidR="00ED5791" w:rsidRPr="00395660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Klasa: 114-02/19</w:t>
            </w:r>
            <w:r w:rsidRPr="00395660">
              <w:rPr>
                <w:rFonts w:ascii="Times New Roman" w:hAnsi="Times New Roman" w:cs="Times New Roman"/>
                <w:sz w:val="18"/>
                <w:szCs w:val="18"/>
              </w:rPr>
              <w:t>-01/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14:paraId="60BC9A76" w14:textId="78EA6C58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Pr-1813</w:t>
            </w:r>
            <w:r w:rsidRPr="00395660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14:paraId="6DF1952D" w14:textId="77777777" w:rsidR="00ED5791" w:rsidRPr="00980EC2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EC2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190A7754" w14:textId="67F4C94B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EC2">
              <w:rPr>
                <w:rFonts w:ascii="Times New Roman" w:hAnsi="Times New Roman" w:cs="Times New Roman"/>
                <w:sz w:val="18"/>
                <w:szCs w:val="18"/>
              </w:rPr>
              <w:t>(utvrđenje radnog odnosa)</w:t>
            </w:r>
          </w:p>
        </w:tc>
        <w:tc>
          <w:tcPr>
            <w:tcW w:w="2126" w:type="dxa"/>
            <w:shd w:val="clear" w:color="auto" w:fill="FFFFFF" w:themeFill="background1"/>
          </w:tcPr>
          <w:p w14:paraId="419092B4" w14:textId="59AB11CB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EC2">
              <w:rPr>
                <w:rFonts w:ascii="Times New Roman" w:hAnsi="Times New Roman" w:cs="Times New Roman"/>
                <w:sz w:val="18"/>
                <w:szCs w:val="18"/>
              </w:rPr>
              <w:t>Nije određena</w:t>
            </w:r>
          </w:p>
        </w:tc>
        <w:tc>
          <w:tcPr>
            <w:tcW w:w="1560" w:type="dxa"/>
            <w:shd w:val="clear" w:color="auto" w:fill="FFFFFF" w:themeFill="background1"/>
          </w:tcPr>
          <w:p w14:paraId="6258DE47" w14:textId="4B4F4FA0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  <w:shd w:val="clear" w:color="auto" w:fill="FFFFFF" w:themeFill="background1"/>
          </w:tcPr>
          <w:p w14:paraId="0654304C" w14:textId="72B9B650" w:rsidR="00ED5791" w:rsidRPr="00DA2E87" w:rsidRDefault="0094310D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XY-7</w:t>
            </w:r>
          </w:p>
        </w:tc>
        <w:tc>
          <w:tcPr>
            <w:tcW w:w="4570" w:type="dxa"/>
            <w:shd w:val="clear" w:color="auto" w:fill="FFFFFF" w:themeFill="background1"/>
          </w:tcPr>
          <w:p w14:paraId="090813FF" w14:textId="77777777" w:rsidR="00ED5791" w:rsidRDefault="00ED5791" w:rsidP="00ED5791">
            <w:pPr>
              <w:jc w:val="both"/>
            </w:pPr>
            <w:r w:rsidRPr="00AB63AE">
              <w:rPr>
                <w:rFonts w:ascii="Times New Roman" w:hAnsi="Times New Roman" w:cs="Times New Roman"/>
                <w:sz w:val="18"/>
                <w:szCs w:val="18"/>
              </w:rPr>
              <w:t>20.05.2019.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E61B8">
              <w:rPr>
                <w:rFonts w:ascii="Times New Roman" w:hAnsi="Times New Roman" w:cs="Times New Roman"/>
                <w:sz w:val="18"/>
                <w:szCs w:val="18"/>
              </w:rPr>
              <w:t>prvostupanjski postupak u tijeku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Općinski radni sud u Zagrebu,</w:t>
            </w:r>
          </w:p>
          <w:p w14:paraId="15F3C6ED" w14:textId="77777777" w:rsidR="00ED5791" w:rsidRDefault="00ED5791" w:rsidP="00ED5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E13">
              <w:rPr>
                <w:rFonts w:ascii="Times New Roman" w:hAnsi="Times New Roman" w:cs="Times New Roman"/>
                <w:sz w:val="18"/>
                <w:szCs w:val="18"/>
              </w:rPr>
              <w:t>13.04.2021. – zakazana rasprava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58F7008" w14:textId="442328CC" w:rsidR="00ED5791" w:rsidRPr="00DA2E87" w:rsidRDefault="00ED5791" w:rsidP="00ED5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2022. – </w:t>
            </w:r>
            <w:r w:rsidRPr="00AB63AE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ED5791" w:rsidRPr="00DA2E87" w14:paraId="16A730E8" w14:textId="77777777" w:rsidTr="00ED5791">
        <w:trPr>
          <w:trHeight w:val="996"/>
        </w:trPr>
        <w:tc>
          <w:tcPr>
            <w:tcW w:w="675" w:type="dxa"/>
          </w:tcPr>
          <w:p w14:paraId="7BAA112A" w14:textId="35AB5D97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27" w:type="dxa"/>
            <w:shd w:val="clear" w:color="auto" w:fill="FFFFFF" w:themeFill="background1"/>
          </w:tcPr>
          <w:p w14:paraId="46084D94" w14:textId="77777777" w:rsidR="00ED5791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Klasa: 114-02/19-01/04</w:t>
            </w:r>
          </w:p>
          <w:p w14:paraId="4794EF12" w14:textId="77777777" w:rsidR="00ED5791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AD">
              <w:rPr>
                <w:rFonts w:ascii="Times New Roman" w:hAnsi="Times New Roman" w:cs="Times New Roman"/>
                <w:sz w:val="18"/>
                <w:szCs w:val="18"/>
              </w:rPr>
              <w:t>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- 948/2019</w:t>
            </w:r>
          </w:p>
          <w:p w14:paraId="224D600D" w14:textId="37A46A3E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3B8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 w:rsidRPr="00CF03B8">
              <w:rPr>
                <w:rFonts w:ascii="Times New Roman" w:hAnsi="Times New Roman" w:cs="Times New Roman"/>
                <w:sz w:val="18"/>
                <w:szCs w:val="18"/>
              </w:rPr>
              <w:t xml:space="preserve"> R-963/2020</w:t>
            </w:r>
          </w:p>
        </w:tc>
        <w:tc>
          <w:tcPr>
            <w:tcW w:w="1984" w:type="dxa"/>
            <w:shd w:val="clear" w:color="auto" w:fill="FFFFFF" w:themeFill="background1"/>
          </w:tcPr>
          <w:p w14:paraId="0D6A9C4E" w14:textId="648F072E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 isplate</w:t>
            </w:r>
          </w:p>
        </w:tc>
        <w:tc>
          <w:tcPr>
            <w:tcW w:w="2126" w:type="dxa"/>
            <w:shd w:val="clear" w:color="auto" w:fill="FFFFFF" w:themeFill="background1"/>
          </w:tcPr>
          <w:p w14:paraId="4DFB1E0C" w14:textId="25A03065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09B">
              <w:rPr>
                <w:rFonts w:ascii="Times New Roman" w:hAnsi="Times New Roman" w:cs="Times New Roman"/>
                <w:sz w:val="18"/>
                <w:szCs w:val="18"/>
              </w:rPr>
              <w:t>27.000,00 kn</w:t>
            </w:r>
          </w:p>
        </w:tc>
        <w:tc>
          <w:tcPr>
            <w:tcW w:w="1560" w:type="dxa"/>
            <w:shd w:val="clear" w:color="auto" w:fill="FFFFFF" w:themeFill="background1"/>
          </w:tcPr>
          <w:p w14:paraId="35BC97AA" w14:textId="6379AD9C" w:rsidR="00ED5791" w:rsidRPr="00DA2E87" w:rsidRDefault="009A69C0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XX-1</w:t>
            </w:r>
            <w:bookmarkStart w:id="2" w:name="_GoBack"/>
            <w:bookmarkEnd w:id="2"/>
          </w:p>
        </w:tc>
        <w:tc>
          <w:tcPr>
            <w:tcW w:w="1842" w:type="dxa"/>
            <w:shd w:val="clear" w:color="auto" w:fill="FFFFFF" w:themeFill="background1"/>
          </w:tcPr>
          <w:p w14:paraId="1F131E6A" w14:textId="513BC11D" w:rsidR="00ED5791" w:rsidRPr="00DA2E87" w:rsidRDefault="00ED5791" w:rsidP="00E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4570" w:type="dxa"/>
          </w:tcPr>
          <w:p w14:paraId="6244E683" w14:textId="77777777" w:rsidR="00ED5791" w:rsidRPr="00425E13" w:rsidRDefault="00ED5791" w:rsidP="00ED5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E13">
              <w:rPr>
                <w:rFonts w:ascii="Times New Roman" w:hAnsi="Times New Roman" w:cs="Times New Roman"/>
                <w:sz w:val="18"/>
                <w:szCs w:val="18"/>
              </w:rPr>
              <w:t>29.05.2020. – donesena presuda,</w:t>
            </w:r>
          </w:p>
          <w:p w14:paraId="084C0E87" w14:textId="77777777" w:rsidR="00ED5791" w:rsidRPr="00425E13" w:rsidRDefault="00ED5791" w:rsidP="00ED5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E13">
              <w:rPr>
                <w:rFonts w:ascii="Times New Roman" w:hAnsi="Times New Roman" w:cs="Times New Roman"/>
                <w:sz w:val="18"/>
                <w:szCs w:val="18"/>
              </w:rPr>
              <w:t>17.06.2020. – izjavljena žalba HAKOM-a,</w:t>
            </w:r>
          </w:p>
          <w:p w14:paraId="68D609D6" w14:textId="77777777" w:rsidR="00ED5791" w:rsidRDefault="00ED5791" w:rsidP="00ED5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E13">
              <w:rPr>
                <w:rFonts w:ascii="Times New Roman" w:hAnsi="Times New Roman" w:cs="Times New Roman"/>
                <w:sz w:val="18"/>
                <w:szCs w:val="18"/>
              </w:rPr>
              <w:t>22.10.2020. – predme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 na Županijskom sudu u Zagrebu,</w:t>
            </w:r>
          </w:p>
          <w:p w14:paraId="76444ACE" w14:textId="77777777" w:rsidR="00ED5791" w:rsidRDefault="00ED5791" w:rsidP="00ED5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6CB">
              <w:rPr>
                <w:rFonts w:ascii="Times New Roman" w:hAnsi="Times New Roman" w:cs="Times New Roman"/>
                <w:sz w:val="18"/>
                <w:szCs w:val="18"/>
              </w:rPr>
              <w:t>23.12.2020.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</w:t>
            </w:r>
            <w:r w:rsidRPr="004836CB">
              <w:rPr>
                <w:rFonts w:ascii="Times New Roman" w:hAnsi="Times New Roman" w:cs="Times New Roman"/>
                <w:sz w:val="18"/>
                <w:szCs w:val="18"/>
              </w:rPr>
              <w:t xml:space="preserve">resuda - odbijena žalba - potvrđena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prvostupanjska presuda,</w:t>
            </w:r>
          </w:p>
          <w:p w14:paraId="39AC00CB" w14:textId="34F6A88A" w:rsidR="00ED5791" w:rsidRPr="00DA2E87" w:rsidRDefault="00ED5791" w:rsidP="00ED5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5F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345FC">
              <w:rPr>
                <w:rFonts w:ascii="Times New Roman" w:hAnsi="Times New Roman" w:cs="Times New Roman"/>
                <w:sz w:val="18"/>
                <w:szCs w:val="18"/>
              </w:rPr>
              <w:t>. – procijenjeno vrijeme priljeva i odljeva sredstava.</w:t>
            </w:r>
          </w:p>
        </w:tc>
      </w:tr>
      <w:tr w:rsidR="00ED5791" w:rsidRPr="00DA2E87" w14:paraId="7BCDB7EA" w14:textId="77777777" w:rsidTr="00ED5791">
        <w:trPr>
          <w:trHeight w:val="683"/>
        </w:trPr>
        <w:tc>
          <w:tcPr>
            <w:tcW w:w="675" w:type="dxa"/>
            <w:shd w:val="clear" w:color="auto" w:fill="D9D9D9" w:themeFill="background1" w:themeFillShade="D9"/>
          </w:tcPr>
          <w:p w14:paraId="270C00DC" w14:textId="77777777" w:rsidR="00ED5791" w:rsidRPr="00DA2E87" w:rsidRDefault="00ED5791" w:rsidP="00ED579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289C3D4" w14:textId="77777777" w:rsidR="00ED5791" w:rsidRPr="00DA2E87" w:rsidRDefault="00ED5791" w:rsidP="00ED579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A2A4F91" w14:textId="749B3D7A" w:rsidR="00ED5791" w:rsidRPr="00DA2E87" w:rsidRDefault="00ED5791" w:rsidP="00ED57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5FC6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43B4651" w14:textId="44459404" w:rsidR="00ED5791" w:rsidRPr="00DA2E87" w:rsidRDefault="00ED5791" w:rsidP="00ED57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868</w:t>
            </w:r>
            <w:r w:rsidRPr="002954E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008</w:t>
            </w:r>
            <w:r w:rsidRPr="002954E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15 kn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10566B3" w14:textId="77777777" w:rsidR="00ED5791" w:rsidRPr="00DA2E87" w:rsidRDefault="00ED5791" w:rsidP="00ED579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7418944" w14:textId="77777777" w:rsidR="00ED5791" w:rsidRPr="00DA2E87" w:rsidRDefault="00ED5791" w:rsidP="00ED579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570" w:type="dxa"/>
            <w:shd w:val="clear" w:color="auto" w:fill="D9D9D9" w:themeFill="background1" w:themeFillShade="D9"/>
          </w:tcPr>
          <w:p w14:paraId="5453B103" w14:textId="77777777" w:rsidR="00ED5791" w:rsidRPr="00F91B7B" w:rsidRDefault="00ED5791" w:rsidP="00ED579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7B">
              <w:rPr>
                <w:rFonts w:ascii="Times New Roman" w:hAnsi="Times New Roman" w:cs="Times New Roman"/>
                <w:b/>
                <w:sz w:val="18"/>
                <w:szCs w:val="18"/>
              </w:rPr>
              <w:t>NAPOMENA:</w:t>
            </w:r>
          </w:p>
          <w:p w14:paraId="66F26306" w14:textId="29BAAE9C" w:rsidR="00ED5791" w:rsidRPr="00DA2E87" w:rsidRDefault="00ED5791" w:rsidP="00ED5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B7B">
              <w:rPr>
                <w:rFonts w:ascii="Times New Roman" w:hAnsi="Times New Roman" w:cs="Times New Roman"/>
                <w:sz w:val="18"/>
                <w:szCs w:val="18"/>
              </w:rPr>
              <w:t xml:space="preserve">uz ukupan iznos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procjene financijskog učinka </w:t>
            </w:r>
            <w:r w:rsidRPr="00F91B7B">
              <w:rPr>
                <w:rFonts w:ascii="Times New Roman" w:hAnsi="Times New Roman" w:cs="Times New Roman"/>
                <w:sz w:val="18"/>
                <w:szCs w:val="18"/>
              </w:rPr>
              <w:t>treba računati na kamate i parnične troškove.</w:t>
            </w:r>
          </w:p>
        </w:tc>
      </w:tr>
    </w:tbl>
    <w:p w14:paraId="0013A1CA" w14:textId="77777777" w:rsidR="00746C31" w:rsidRDefault="00746C31" w:rsidP="00A65998">
      <w:pPr>
        <w:sectPr w:rsidR="00746C31" w:rsidSect="00746C31">
          <w:pgSz w:w="16838" w:h="11906" w:orient="landscape" w:code="9"/>
          <w:pgMar w:top="1134" w:right="1701" w:bottom="1134" w:left="1559" w:header="340" w:footer="454" w:gutter="0"/>
          <w:cols w:space="708"/>
          <w:docGrid w:linePitch="360"/>
        </w:sectPr>
      </w:pPr>
    </w:p>
    <w:p w14:paraId="5529A6F7" w14:textId="5600EA5F" w:rsidR="001F5A39" w:rsidRPr="006728DA" w:rsidRDefault="00A65998" w:rsidP="001F5A39">
      <w:pPr>
        <w:numPr>
          <w:ilvl w:val="0"/>
          <w:numId w:val="11"/>
        </w:numPr>
        <w:spacing w:after="160" w:line="259" w:lineRule="auto"/>
        <w:ind w:left="426" w:hanging="426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BILJEŠKE UZ </w:t>
      </w:r>
      <w:r w:rsidR="001F5A39">
        <w:rPr>
          <w:rFonts w:eastAsia="Calibri"/>
          <w:b/>
          <w:lang w:eastAsia="en-US"/>
        </w:rPr>
        <w:t>I</w:t>
      </w:r>
      <w:r w:rsidR="001F5A39" w:rsidRPr="006728DA">
        <w:rPr>
          <w:rFonts w:eastAsia="Calibri"/>
          <w:b/>
          <w:lang w:eastAsia="en-US"/>
        </w:rPr>
        <w:t xml:space="preserve">ZVJEŠTAJ O RASHODIMA PREMA FUNKCIJSKOJ KLASIFIKACIJI (OBRAZAC RAS – funkcijski)   </w:t>
      </w:r>
    </w:p>
    <w:p w14:paraId="39F73011" w14:textId="77777777" w:rsidR="001F5A39" w:rsidRPr="006728DA" w:rsidRDefault="001F5A39" w:rsidP="001F5A39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5AFBC9F3" w14:textId="131C4B20" w:rsidR="001F5A39" w:rsidRPr="006728DA" w:rsidRDefault="001F5A39" w:rsidP="001F5A39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6728DA">
        <w:rPr>
          <w:rFonts w:eastAsia="Calibri"/>
          <w:lang w:eastAsia="en-US"/>
        </w:rPr>
        <w:t xml:space="preserve">Za izvještajno razdoblje ukupni rashodi poslovanja i rashodi za nabavu nefinancijske imovine iznosili su </w:t>
      </w:r>
      <w:r w:rsidR="00A458D5" w:rsidRPr="00A458D5">
        <w:rPr>
          <w:rFonts w:eastAsia="Calibri"/>
          <w:lang w:eastAsia="en-US"/>
        </w:rPr>
        <w:t>104.322.842</w:t>
      </w:r>
      <w:r w:rsidRPr="006728DA">
        <w:rPr>
          <w:rFonts w:eastAsia="Calibri"/>
          <w:lang w:eastAsia="en-US"/>
        </w:rPr>
        <w:t xml:space="preserve"> kn, a prikazani su u funkcijskoj klasifikaciji 0486 - Istraživanje i razvoj: Komunikacije – AOP 068.</w:t>
      </w:r>
      <w:r w:rsidR="00A458D5">
        <w:rPr>
          <w:rFonts w:eastAsia="Calibri"/>
          <w:lang w:eastAsia="en-US"/>
        </w:rPr>
        <w:t xml:space="preserve"> </w:t>
      </w:r>
    </w:p>
    <w:p w14:paraId="087F5DF3" w14:textId="77777777" w:rsidR="001F5A39" w:rsidRPr="006728DA" w:rsidRDefault="001F5A39" w:rsidP="001F5A39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1943F19F" w14:textId="00418020" w:rsidR="001F5A39" w:rsidRPr="006728DA" w:rsidRDefault="001F5A39" w:rsidP="00307D4B">
      <w:pPr>
        <w:numPr>
          <w:ilvl w:val="0"/>
          <w:numId w:val="11"/>
        </w:numPr>
        <w:suppressAutoHyphens/>
        <w:spacing w:after="160" w:line="259" w:lineRule="auto"/>
        <w:ind w:left="426" w:hanging="426"/>
        <w:contextualSpacing/>
        <w:jc w:val="both"/>
        <w:rPr>
          <w:rFonts w:eastAsia="Calibri"/>
          <w:b/>
          <w:lang w:eastAsia="en-US"/>
        </w:rPr>
      </w:pPr>
      <w:r w:rsidRPr="006728DA">
        <w:rPr>
          <w:rFonts w:eastAsia="Calibri"/>
          <w:b/>
          <w:lang w:eastAsia="en-US"/>
        </w:rPr>
        <w:t>BILJEŠKE UZ IZVJEŠTAJ O PROMJENAMA U VRIJEDNOSTI I OB</w:t>
      </w:r>
      <w:r w:rsidR="00307D4B">
        <w:rPr>
          <w:rFonts w:eastAsia="Calibri"/>
          <w:b/>
          <w:lang w:eastAsia="en-US"/>
        </w:rPr>
        <w:t>U</w:t>
      </w:r>
      <w:r w:rsidRPr="006728DA">
        <w:rPr>
          <w:rFonts w:eastAsia="Calibri"/>
          <w:b/>
          <w:lang w:eastAsia="en-US"/>
        </w:rPr>
        <w:t xml:space="preserve">JMU IMOVINE I OBVEZA (OBRAZAC P-VRIO)   </w:t>
      </w:r>
    </w:p>
    <w:p w14:paraId="5E991908" w14:textId="77777777" w:rsidR="001F5A39" w:rsidRPr="006728DA" w:rsidRDefault="001F5A39" w:rsidP="001F5A39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2473A0A1" w14:textId="66690A41" w:rsidR="0014467F" w:rsidRDefault="0014467F" w:rsidP="001F5A39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6728DA">
        <w:rPr>
          <w:rFonts w:eastAsia="Calibri"/>
          <w:lang w:eastAsia="en-US"/>
        </w:rPr>
        <w:t xml:space="preserve">Smanjenje u vrijednosti imovine u iznosu </w:t>
      </w:r>
      <w:r w:rsidR="00794585">
        <w:rPr>
          <w:rFonts w:eastAsia="Calibri"/>
          <w:lang w:eastAsia="en-US"/>
        </w:rPr>
        <w:t xml:space="preserve">od </w:t>
      </w:r>
      <w:r w:rsidR="00794585" w:rsidRPr="00794585">
        <w:rPr>
          <w:rFonts w:eastAsia="Calibri"/>
          <w:lang w:eastAsia="en-US"/>
        </w:rPr>
        <w:t>14.092</w:t>
      </w:r>
      <w:r w:rsidR="00794585">
        <w:rPr>
          <w:rFonts w:eastAsia="Calibri"/>
          <w:lang w:eastAsia="en-US"/>
        </w:rPr>
        <w:t xml:space="preserve"> kn (AOP 005) se odnosi na </w:t>
      </w:r>
      <w:r w:rsidR="00995A96">
        <w:rPr>
          <w:rFonts w:eastAsia="Calibri"/>
          <w:lang w:eastAsia="en-US"/>
        </w:rPr>
        <w:t>r</w:t>
      </w:r>
      <w:r w:rsidR="00995A96" w:rsidRPr="00995A96">
        <w:rPr>
          <w:rFonts w:eastAsia="Calibri"/>
          <w:lang w:eastAsia="en-US"/>
        </w:rPr>
        <w:t xml:space="preserve">ashodovanje nefinancijske </w:t>
      </w:r>
      <w:r w:rsidR="00995A96">
        <w:rPr>
          <w:rFonts w:eastAsia="Calibri"/>
          <w:lang w:eastAsia="en-US"/>
        </w:rPr>
        <w:t xml:space="preserve">proizvedene </w:t>
      </w:r>
      <w:r w:rsidR="00995A96" w:rsidRPr="00995A96">
        <w:rPr>
          <w:rFonts w:eastAsia="Calibri"/>
          <w:lang w:eastAsia="en-US"/>
        </w:rPr>
        <w:t>dugotrajne imovine</w:t>
      </w:r>
      <w:r w:rsidR="0053611C">
        <w:rPr>
          <w:rFonts w:eastAsia="Calibri"/>
          <w:lang w:eastAsia="en-US"/>
        </w:rPr>
        <w:t xml:space="preserve"> koja je zbrinuta kao elektronički otpad.</w:t>
      </w:r>
    </w:p>
    <w:p w14:paraId="245555C5" w14:textId="7998A988" w:rsidR="001F5A39" w:rsidRDefault="001F5A39" w:rsidP="001F5A39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6728DA">
        <w:rPr>
          <w:rFonts w:eastAsia="Calibri"/>
          <w:lang w:eastAsia="en-US"/>
        </w:rPr>
        <w:t xml:space="preserve">U izvještajnom razdoblju proračunskom korisniku </w:t>
      </w:r>
      <w:r w:rsidR="00732966">
        <w:rPr>
          <w:rFonts w:eastAsia="Calibri"/>
          <w:lang w:eastAsia="en-US"/>
        </w:rPr>
        <w:t xml:space="preserve">Fakultetu </w:t>
      </w:r>
      <w:r w:rsidR="00732966" w:rsidRPr="00732966">
        <w:rPr>
          <w:rFonts w:eastAsia="Calibri"/>
          <w:lang w:eastAsia="en-US"/>
        </w:rPr>
        <w:t>elektrotehnike, strojarstva i brodogradnje</w:t>
      </w:r>
      <w:r w:rsidR="00732966">
        <w:rPr>
          <w:rFonts w:eastAsia="Calibri"/>
          <w:lang w:eastAsia="en-US"/>
        </w:rPr>
        <w:t xml:space="preserve"> iz Splita</w:t>
      </w:r>
      <w:r w:rsidRPr="006728DA">
        <w:rPr>
          <w:rFonts w:eastAsia="Calibri"/>
          <w:lang w:eastAsia="en-US"/>
        </w:rPr>
        <w:t xml:space="preserve"> je prenesena nefinancijska proizvedena dugotrajna imovina što je rezultiralo smanjenjem obujma imovine u iznosu od </w:t>
      </w:r>
      <w:r w:rsidR="00B02464" w:rsidRPr="00B02464">
        <w:rPr>
          <w:rFonts w:eastAsia="Calibri"/>
          <w:lang w:eastAsia="en-US"/>
        </w:rPr>
        <w:t>113.815</w:t>
      </w:r>
      <w:r w:rsidRPr="006728DA">
        <w:rPr>
          <w:rFonts w:eastAsia="Calibri"/>
          <w:lang w:eastAsia="en-US"/>
        </w:rPr>
        <w:t xml:space="preserve"> kn – AOP 021. </w:t>
      </w:r>
      <w:r w:rsidR="00B02464">
        <w:rPr>
          <w:rFonts w:eastAsia="Calibri"/>
          <w:lang w:eastAsia="en-US"/>
        </w:rPr>
        <w:t>Smanjen</w:t>
      </w:r>
      <w:r w:rsidR="007448D5">
        <w:rPr>
          <w:rFonts w:eastAsia="Calibri"/>
          <w:lang w:eastAsia="en-US"/>
        </w:rPr>
        <w:t>je u obujmu imovine u iznosu od</w:t>
      </w:r>
      <w:r w:rsidR="007448D5" w:rsidRPr="006728DA">
        <w:rPr>
          <w:rFonts w:eastAsia="Calibri"/>
          <w:lang w:eastAsia="en-US"/>
        </w:rPr>
        <w:t xml:space="preserve"> </w:t>
      </w:r>
      <w:r w:rsidR="007448D5" w:rsidRPr="00B02464">
        <w:rPr>
          <w:rFonts w:eastAsia="Calibri"/>
          <w:lang w:eastAsia="en-US"/>
        </w:rPr>
        <w:t>939.160</w:t>
      </w:r>
      <w:r w:rsidR="007448D5" w:rsidRPr="006728DA">
        <w:rPr>
          <w:rFonts w:eastAsia="Calibri"/>
          <w:lang w:eastAsia="en-US"/>
        </w:rPr>
        <w:t xml:space="preserve"> kn (AOP 0</w:t>
      </w:r>
      <w:r w:rsidR="007448D5">
        <w:rPr>
          <w:rFonts w:eastAsia="Calibri"/>
          <w:lang w:eastAsia="en-US"/>
        </w:rPr>
        <w:t>32</w:t>
      </w:r>
      <w:r w:rsidR="007448D5" w:rsidRPr="006728DA">
        <w:rPr>
          <w:rFonts w:eastAsia="Calibri"/>
          <w:lang w:eastAsia="en-US"/>
        </w:rPr>
        <w:t xml:space="preserve">) se odnosi na </w:t>
      </w:r>
      <w:r w:rsidR="007448D5" w:rsidRPr="00EF1596">
        <w:rPr>
          <w:rFonts w:eastAsia="Calibri"/>
          <w:lang w:eastAsia="en-US"/>
        </w:rPr>
        <w:t xml:space="preserve">otpis </w:t>
      </w:r>
      <w:r w:rsidR="00054A60" w:rsidRPr="00EF1596">
        <w:rPr>
          <w:rFonts w:eastAsia="Calibri"/>
          <w:lang w:eastAsia="en-US"/>
        </w:rPr>
        <w:t xml:space="preserve">zastarjelih </w:t>
      </w:r>
      <w:r w:rsidR="007448D5" w:rsidRPr="00EF1596">
        <w:rPr>
          <w:rFonts w:eastAsia="Calibri"/>
          <w:lang w:eastAsia="en-US"/>
        </w:rPr>
        <w:t>potraživanja</w:t>
      </w:r>
      <w:r w:rsidR="007448D5" w:rsidRPr="006728DA">
        <w:rPr>
          <w:rFonts w:eastAsia="Calibri"/>
          <w:lang w:eastAsia="en-US"/>
        </w:rPr>
        <w:t xml:space="preserve"> za prihode poslovanja.</w:t>
      </w:r>
      <w:r w:rsidR="007448D5">
        <w:rPr>
          <w:rFonts w:eastAsia="Calibri"/>
          <w:lang w:eastAsia="en-US"/>
        </w:rPr>
        <w:t xml:space="preserve"> </w:t>
      </w:r>
    </w:p>
    <w:p w14:paraId="783A8F4E" w14:textId="77777777" w:rsidR="00F57AE3" w:rsidRPr="006728DA" w:rsidRDefault="00F57AE3" w:rsidP="001F5A39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78C8371C" w14:textId="77777777" w:rsidR="001F5A39" w:rsidRPr="006728DA" w:rsidRDefault="001F5A39" w:rsidP="001F5A39">
      <w:pPr>
        <w:numPr>
          <w:ilvl w:val="0"/>
          <w:numId w:val="11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 w:rsidRPr="006728DA">
        <w:rPr>
          <w:rFonts w:eastAsia="Calibri"/>
          <w:b/>
          <w:lang w:eastAsia="en-US"/>
        </w:rPr>
        <w:t xml:space="preserve">BILJEŠKE UZ IZVJEŠTAJ O OBVEZAMA (OBRAZAC OBVEZE)   </w:t>
      </w:r>
    </w:p>
    <w:p w14:paraId="52FCD74B" w14:textId="77777777" w:rsidR="00A65998" w:rsidRDefault="00A65998" w:rsidP="00E919CB"/>
    <w:p w14:paraId="48DC40EC" w14:textId="5C293358" w:rsidR="00A65998" w:rsidRDefault="00A65998" w:rsidP="00A65998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F3738C">
        <w:rPr>
          <w:rFonts w:eastAsia="Calibri"/>
          <w:lang w:eastAsia="en-US"/>
        </w:rPr>
        <w:t>Stanje obveza na dan 3</w:t>
      </w:r>
      <w:r w:rsidR="001F5A39">
        <w:rPr>
          <w:rFonts w:eastAsia="Calibri"/>
          <w:lang w:eastAsia="en-US"/>
        </w:rPr>
        <w:t>1</w:t>
      </w:r>
      <w:r w:rsidRPr="00F3738C">
        <w:rPr>
          <w:rFonts w:eastAsia="Calibri"/>
          <w:lang w:eastAsia="en-US"/>
        </w:rPr>
        <w:t xml:space="preserve">. </w:t>
      </w:r>
      <w:r w:rsidR="001F5A39">
        <w:rPr>
          <w:rFonts w:eastAsia="Calibri"/>
          <w:lang w:eastAsia="en-US"/>
        </w:rPr>
        <w:t>prosinca</w:t>
      </w:r>
      <w:r w:rsidRPr="00F3738C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20</w:t>
      </w:r>
      <w:r w:rsidRPr="00F3738C">
        <w:rPr>
          <w:rFonts w:eastAsia="Calibri"/>
          <w:lang w:eastAsia="en-US"/>
        </w:rPr>
        <w:t xml:space="preserve">. iznosi </w:t>
      </w:r>
      <w:r w:rsidR="001F5A39" w:rsidRPr="001F5A39">
        <w:rPr>
          <w:rFonts w:eastAsia="Calibri"/>
          <w:lang w:eastAsia="en-US"/>
        </w:rPr>
        <w:t>5.399.863</w:t>
      </w:r>
      <w:r w:rsidRPr="00F3738C">
        <w:rPr>
          <w:rFonts w:eastAsia="Calibri"/>
          <w:lang w:eastAsia="en-US"/>
        </w:rPr>
        <w:t xml:space="preserve"> kn – AOP 036. </w:t>
      </w:r>
    </w:p>
    <w:p w14:paraId="44B36E0F" w14:textId="49734353" w:rsidR="00A65998" w:rsidRDefault="00A65998" w:rsidP="00A65998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Ukupne nedospjele obveze u iznosu od </w:t>
      </w:r>
      <w:r w:rsidR="001F5A39" w:rsidRPr="001F5A39">
        <w:rPr>
          <w:rFonts w:eastAsia="Calibri"/>
          <w:lang w:eastAsia="en-US"/>
        </w:rPr>
        <w:t>5.399.863</w:t>
      </w:r>
      <w:r>
        <w:rPr>
          <w:rFonts w:eastAsia="Calibri"/>
          <w:lang w:eastAsia="en-US"/>
        </w:rPr>
        <w:t xml:space="preserve"> kn (AOP 090) najvećim dijelom se odnose na obvezu za isplatu plaće za </w:t>
      </w:r>
      <w:r w:rsidR="001F5A39">
        <w:rPr>
          <w:rFonts w:eastAsia="Calibri"/>
          <w:lang w:eastAsia="en-US"/>
        </w:rPr>
        <w:t>prosinac</w:t>
      </w:r>
      <w:r>
        <w:rPr>
          <w:rFonts w:eastAsia="Calibri"/>
          <w:lang w:eastAsia="en-US"/>
        </w:rPr>
        <w:t xml:space="preserve"> 2020. te obveze prema dobavljačima. Iste su podmirene</w:t>
      </w:r>
      <w:r w:rsidR="000F1654">
        <w:rPr>
          <w:rFonts w:eastAsia="Calibri"/>
          <w:lang w:eastAsia="en-US"/>
        </w:rPr>
        <w:t xml:space="preserve"> u siječnju 2021</w:t>
      </w:r>
      <w:r>
        <w:rPr>
          <w:rFonts w:eastAsia="Calibri"/>
          <w:lang w:eastAsia="en-US"/>
        </w:rPr>
        <w:t xml:space="preserve">.   </w:t>
      </w:r>
      <w:r w:rsidR="001F5A39">
        <w:rPr>
          <w:rFonts w:eastAsia="Calibri"/>
          <w:lang w:eastAsia="en-US"/>
        </w:rPr>
        <w:t xml:space="preserve"> </w:t>
      </w:r>
    </w:p>
    <w:p w14:paraId="7E48DEB1" w14:textId="1A7BC35F" w:rsidR="001F58AF" w:rsidRDefault="00807EFB" w:rsidP="00D703E2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Međusobne obveze proračunskih korisnika odnose se na</w:t>
      </w:r>
      <w:r w:rsidR="008B40DC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računalne usluge (Srce - S</w:t>
      </w:r>
      <w:r w:rsidRPr="00807EFB">
        <w:rPr>
          <w:rFonts w:eastAsia="Calibri"/>
          <w:lang w:eastAsia="en-US"/>
        </w:rPr>
        <w:t xml:space="preserve">veučilišni računski centar </w:t>
      </w:r>
      <w:r>
        <w:rPr>
          <w:rFonts w:eastAsia="Calibri"/>
          <w:lang w:eastAsia="en-US"/>
        </w:rPr>
        <w:t xml:space="preserve">Sveučilišta u </w:t>
      </w:r>
      <w:r w:rsidRPr="00807EFB">
        <w:rPr>
          <w:rFonts w:eastAsia="Calibri"/>
          <w:lang w:eastAsia="en-US"/>
        </w:rPr>
        <w:t>Zagreb</w:t>
      </w:r>
      <w:r>
        <w:rPr>
          <w:rFonts w:eastAsia="Calibri"/>
          <w:lang w:eastAsia="en-US"/>
        </w:rPr>
        <w:t>u), stručno usavršavanje zaposlenika (</w:t>
      </w:r>
      <w:r w:rsidRPr="00807EFB">
        <w:rPr>
          <w:rFonts w:eastAsia="Calibri"/>
          <w:lang w:eastAsia="en-US"/>
        </w:rPr>
        <w:t>Državna škola za javnu upravu</w:t>
      </w:r>
      <w:r w:rsidR="00B862B2">
        <w:rPr>
          <w:rFonts w:eastAsia="Calibri"/>
          <w:lang w:eastAsia="en-US"/>
        </w:rPr>
        <w:t xml:space="preserve"> – stručni tečaj</w:t>
      </w:r>
      <w:r>
        <w:rPr>
          <w:rFonts w:eastAsia="Calibri"/>
          <w:lang w:eastAsia="en-US"/>
        </w:rPr>
        <w:t xml:space="preserve">, </w:t>
      </w:r>
      <w:r w:rsidRPr="00807EFB">
        <w:rPr>
          <w:rFonts w:eastAsia="Calibri"/>
          <w:lang w:eastAsia="en-US"/>
        </w:rPr>
        <w:t>Fakultet elektrotehnike i računarstva</w:t>
      </w:r>
      <w:r w:rsidR="008C159C">
        <w:rPr>
          <w:rFonts w:eastAsia="Calibri"/>
          <w:lang w:eastAsia="en-US"/>
        </w:rPr>
        <w:t xml:space="preserve"> – edukacija o 5G tehnologiji</w:t>
      </w:r>
      <w:r>
        <w:rPr>
          <w:rFonts w:eastAsia="Calibri"/>
          <w:lang w:eastAsia="en-US"/>
        </w:rPr>
        <w:t xml:space="preserve">, </w:t>
      </w:r>
      <w:r w:rsidRPr="00807EFB">
        <w:rPr>
          <w:rFonts w:eastAsia="Calibri"/>
          <w:lang w:eastAsia="en-US"/>
        </w:rPr>
        <w:t>Ministarstvo uprave</w:t>
      </w:r>
      <w:r w:rsidR="00B862B2">
        <w:rPr>
          <w:rFonts w:eastAsia="Calibri"/>
          <w:lang w:eastAsia="en-US"/>
        </w:rPr>
        <w:t xml:space="preserve"> – p</w:t>
      </w:r>
      <w:r w:rsidR="00B862B2" w:rsidRPr="00B862B2">
        <w:rPr>
          <w:rFonts w:eastAsia="Calibri"/>
          <w:lang w:eastAsia="en-US"/>
        </w:rPr>
        <w:t>olaganje</w:t>
      </w:r>
      <w:r w:rsidR="00B862B2">
        <w:rPr>
          <w:rFonts w:eastAsia="Calibri"/>
          <w:lang w:eastAsia="en-US"/>
        </w:rPr>
        <w:t xml:space="preserve"> </w:t>
      </w:r>
      <w:r w:rsidR="00B862B2" w:rsidRPr="00B862B2">
        <w:rPr>
          <w:rFonts w:eastAsia="Calibri"/>
          <w:lang w:eastAsia="en-US"/>
        </w:rPr>
        <w:t>državnog stručnog ispita</w:t>
      </w:r>
      <w:r>
        <w:rPr>
          <w:rFonts w:eastAsia="Calibri"/>
          <w:lang w:eastAsia="en-US"/>
        </w:rPr>
        <w:t>), školarine (</w:t>
      </w:r>
      <w:r w:rsidRPr="00807EFB">
        <w:rPr>
          <w:rFonts w:eastAsia="Calibri"/>
          <w:lang w:eastAsia="en-US"/>
        </w:rPr>
        <w:t>Fakultet elektrotehnike i računarstva</w:t>
      </w:r>
      <w:r>
        <w:rPr>
          <w:rFonts w:eastAsia="Calibri"/>
          <w:lang w:eastAsia="en-US"/>
        </w:rPr>
        <w:t xml:space="preserve">, </w:t>
      </w:r>
      <w:r w:rsidRPr="00807EFB">
        <w:rPr>
          <w:rFonts w:eastAsia="Calibri"/>
          <w:lang w:eastAsia="en-US"/>
        </w:rPr>
        <w:t>Fakultet prometnih znanosti</w:t>
      </w:r>
      <w:r>
        <w:rPr>
          <w:rFonts w:eastAsia="Calibri"/>
          <w:lang w:eastAsia="en-US"/>
        </w:rPr>
        <w:t xml:space="preserve">, </w:t>
      </w:r>
      <w:r w:rsidRPr="00807EFB">
        <w:rPr>
          <w:rFonts w:eastAsia="Calibri"/>
          <w:lang w:eastAsia="en-US"/>
        </w:rPr>
        <w:t>Pravni fakultet Osijek</w:t>
      </w:r>
      <w:r>
        <w:rPr>
          <w:rFonts w:eastAsia="Calibri"/>
          <w:lang w:eastAsia="en-US"/>
        </w:rPr>
        <w:t>), usluge promidžbe (</w:t>
      </w:r>
      <w:r w:rsidRPr="00807EFB">
        <w:rPr>
          <w:rFonts w:eastAsia="Calibri"/>
          <w:lang w:eastAsia="en-US"/>
        </w:rPr>
        <w:t>Fakultet elektrotehnike i računarstva</w:t>
      </w:r>
      <w:r w:rsidR="001E49BB">
        <w:rPr>
          <w:rFonts w:eastAsia="Calibri"/>
          <w:lang w:eastAsia="en-US"/>
        </w:rPr>
        <w:t xml:space="preserve"> – </w:t>
      </w:r>
      <w:r w:rsidR="001E49BB" w:rsidRPr="001E49BB">
        <w:rPr>
          <w:rFonts w:eastAsia="Calibri"/>
          <w:lang w:eastAsia="en-US"/>
        </w:rPr>
        <w:t>ELMAR</w:t>
      </w:r>
      <w:r w:rsidR="001E49BB">
        <w:rPr>
          <w:rFonts w:eastAsia="Calibri"/>
          <w:lang w:eastAsia="en-US"/>
        </w:rPr>
        <w:t xml:space="preserve"> </w:t>
      </w:r>
      <w:r w:rsidR="001E49BB" w:rsidRPr="001E49BB">
        <w:rPr>
          <w:rFonts w:eastAsia="Calibri"/>
          <w:lang w:eastAsia="en-US"/>
        </w:rPr>
        <w:t>2020.</w:t>
      </w:r>
      <w:r>
        <w:rPr>
          <w:rFonts w:eastAsia="Calibri"/>
          <w:lang w:eastAsia="en-US"/>
        </w:rPr>
        <w:t>), ostale usluge (</w:t>
      </w:r>
      <w:r w:rsidRPr="00807EFB">
        <w:rPr>
          <w:rFonts w:eastAsia="Calibri"/>
          <w:lang w:eastAsia="en-US"/>
        </w:rPr>
        <w:t>Fakultet elektrotehnike i računarstva</w:t>
      </w:r>
      <w:r>
        <w:rPr>
          <w:rFonts w:eastAsia="Calibri"/>
          <w:lang w:eastAsia="en-US"/>
        </w:rPr>
        <w:t xml:space="preserve"> – projekt osoba s invaliditetom) i dr.</w:t>
      </w:r>
    </w:p>
    <w:p w14:paraId="14512DA0" w14:textId="77777777" w:rsidR="00D703E2" w:rsidRPr="000E7D95" w:rsidRDefault="00D703E2" w:rsidP="00D703E2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26C36E2E" w14:textId="5F517A93" w:rsidR="00A65998" w:rsidRPr="00D65CB4" w:rsidRDefault="001F5A39" w:rsidP="00A65998">
      <w:pPr>
        <w:suppressAutoHyphens/>
        <w:spacing w:after="160" w:line="259" w:lineRule="auto"/>
        <w:rPr>
          <w:rFonts w:eastAsia="Calibri"/>
          <w:lang w:eastAsia="en-US"/>
        </w:rPr>
      </w:pPr>
      <w:r w:rsidRPr="006728DA">
        <w:rPr>
          <w:rFonts w:eastAsia="Calibri"/>
          <w:lang w:eastAsia="en-US"/>
        </w:rPr>
        <w:t xml:space="preserve">U Zagrebu, </w:t>
      </w:r>
      <w:r>
        <w:rPr>
          <w:rFonts w:eastAsia="Calibri"/>
          <w:lang w:eastAsia="en-US"/>
        </w:rPr>
        <w:t>28</w:t>
      </w:r>
      <w:r w:rsidRPr="006728DA">
        <w:rPr>
          <w:rFonts w:eastAsia="Calibri"/>
          <w:lang w:eastAsia="en-US"/>
        </w:rPr>
        <w:t>. siječnja 20</w:t>
      </w:r>
      <w:r>
        <w:rPr>
          <w:rFonts w:eastAsia="Calibri"/>
          <w:lang w:eastAsia="en-US"/>
        </w:rPr>
        <w:t>21</w:t>
      </w:r>
      <w:r w:rsidRPr="006728DA">
        <w:rPr>
          <w:rFonts w:eastAsia="Calibri"/>
          <w:lang w:eastAsia="en-US"/>
        </w:rPr>
        <w:t>.</w:t>
      </w:r>
      <w:r w:rsidRPr="006728DA">
        <w:rPr>
          <w:rFonts w:eastAsia="Calibri"/>
          <w:lang w:eastAsia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837"/>
      </w:tblGrid>
      <w:tr w:rsidR="00A65998" w:rsidRPr="000E7D95" w14:paraId="71806AF9" w14:textId="77777777" w:rsidTr="001F11EA">
        <w:tc>
          <w:tcPr>
            <w:tcW w:w="4927" w:type="dxa"/>
            <w:shd w:val="clear" w:color="auto" w:fill="auto"/>
          </w:tcPr>
          <w:p w14:paraId="32669FB9" w14:textId="77777777" w:rsidR="00A65998" w:rsidRPr="000E7D95" w:rsidRDefault="00A65998" w:rsidP="001F11EA">
            <w:pPr>
              <w:suppressAutoHyphens/>
              <w:spacing w:after="160" w:line="259" w:lineRule="auto"/>
              <w:rPr>
                <w:rFonts w:ascii="HelveticaNeueLT Com 47 LtCn" w:eastAsia="Calibri" w:hAnsi="HelveticaNeueLT Com 47 LtCn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260A3AD9" w14:textId="77777777" w:rsidR="00A65998" w:rsidRPr="000E7D95" w:rsidRDefault="00A65998" w:rsidP="001F11EA">
            <w:pPr>
              <w:tabs>
                <w:tab w:val="center" w:pos="7655"/>
              </w:tabs>
              <w:suppressAutoHyphens/>
              <w:spacing w:before="240" w:after="600"/>
              <w:jc w:val="center"/>
              <w:rPr>
                <w:b/>
                <w:i/>
                <w:caps/>
                <w:sz w:val="20"/>
              </w:rPr>
            </w:pPr>
            <w:r w:rsidRPr="000E7D95">
              <w:rPr>
                <w:b/>
                <w:i/>
                <w:caps/>
                <w:sz w:val="20"/>
              </w:rPr>
              <w:t>Predsjednik Vijeća</w:t>
            </w:r>
          </w:p>
        </w:tc>
      </w:tr>
      <w:tr w:rsidR="00A65998" w:rsidRPr="000E7D95" w14:paraId="58D7BF4A" w14:textId="77777777" w:rsidTr="001F11EA">
        <w:tc>
          <w:tcPr>
            <w:tcW w:w="4927" w:type="dxa"/>
            <w:shd w:val="clear" w:color="auto" w:fill="auto"/>
          </w:tcPr>
          <w:p w14:paraId="6694D1FC" w14:textId="77777777" w:rsidR="00A65998" w:rsidRPr="000E7D95" w:rsidRDefault="00A65998" w:rsidP="001F11EA">
            <w:pPr>
              <w:suppressAutoHyphens/>
              <w:spacing w:after="160" w:line="259" w:lineRule="auto"/>
              <w:rPr>
                <w:rFonts w:ascii="HelveticaNeueLT Com 47 LtCn" w:eastAsia="Calibri" w:hAnsi="HelveticaNeueLT Com 47 LtCn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76489061" w14:textId="77777777" w:rsidR="00A65998" w:rsidRPr="000E7D95" w:rsidRDefault="00A65998" w:rsidP="001F11EA">
            <w:pPr>
              <w:tabs>
                <w:tab w:val="center" w:pos="7655"/>
              </w:tabs>
              <w:suppressAutoHyphens/>
              <w:spacing w:after="600"/>
              <w:jc w:val="center"/>
              <w:rPr>
                <w:b/>
                <w:i/>
                <w:sz w:val="22"/>
              </w:rPr>
            </w:pPr>
            <w:r w:rsidRPr="000E7D95">
              <w:rPr>
                <w:b/>
                <w:i/>
                <w:sz w:val="22"/>
              </w:rPr>
              <w:t>Tonko Obuljen</w:t>
            </w:r>
          </w:p>
        </w:tc>
      </w:tr>
    </w:tbl>
    <w:p w14:paraId="4BDF505C" w14:textId="77777777" w:rsidR="0081419C" w:rsidRPr="00A65998" w:rsidRDefault="0081419C" w:rsidP="00F57AE3"/>
    <w:sectPr w:rsidR="0081419C" w:rsidRPr="00A65998" w:rsidSect="00F57AE3">
      <w:pgSz w:w="11906" w:h="16838" w:code="9"/>
      <w:pgMar w:top="1701" w:right="1134" w:bottom="1418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07A9" w14:textId="77777777" w:rsidR="00122455" w:rsidRDefault="00122455">
      <w:r>
        <w:separator/>
      </w:r>
    </w:p>
  </w:endnote>
  <w:endnote w:type="continuationSeparator" w:id="0">
    <w:p w14:paraId="61C3F848" w14:textId="77777777" w:rsidR="00122455" w:rsidRDefault="0012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CE-Regular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Com 47 LtCn">
    <w:altName w:val="Arial Narrow"/>
    <w:charset w:val="EE"/>
    <w:family w:val="swiss"/>
    <w:pitch w:val="variable"/>
    <w:sig w:usb0="00000001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226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B9C21" w14:textId="20F8130A" w:rsidR="006370B5" w:rsidRDefault="006370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9C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28375D1" w14:textId="77777777" w:rsidR="006370B5" w:rsidRDefault="006370B5">
    <w:pPr>
      <w:pStyle w:val="Footer"/>
    </w:pPr>
  </w:p>
  <w:p w14:paraId="32FFB0C5" w14:textId="77777777" w:rsidR="00DD1540" w:rsidRDefault="00DD1540"/>
  <w:p w14:paraId="3074C8C8" w14:textId="77777777" w:rsidR="00DD1540" w:rsidRDefault="00DD1540"/>
  <w:p w14:paraId="777B4A45" w14:textId="77777777" w:rsidR="00DD1540" w:rsidRDefault="00DD15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DD71" w14:textId="77777777" w:rsidR="00DC2C85" w:rsidRPr="008639AE" w:rsidRDefault="00124418" w:rsidP="00192D15">
    <w:pPr>
      <w:pStyle w:val="Footer"/>
      <w:tabs>
        <w:tab w:val="clear" w:pos="4320"/>
        <w:tab w:val="clear" w:pos="8640"/>
      </w:tabs>
      <w:spacing w:line="240" w:lineRule="auto"/>
      <w:ind w:left="-357" w:right="-357"/>
      <w:rPr>
        <w:rFonts w:ascii="DINCE-Regular" w:hAnsi="DINCE-Regular"/>
      </w:rPr>
    </w:pPr>
    <w:r w:rsidRPr="008639AE">
      <w:rPr>
        <w:rFonts w:ascii="DINCE-Regular" w:hAnsi="DINCE-Regular"/>
        <w:noProof/>
      </w:rPr>
      <mc:AlternateContent>
        <mc:Choice Requires="wps">
          <w:drawing>
            <wp:inline distT="0" distB="0" distL="0" distR="0" wp14:anchorId="0851DD76" wp14:editId="0851DD77">
              <wp:extent cx="6480175" cy="0"/>
              <wp:effectExtent l="9525" t="9525" r="6350" b="9525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8C03D77" id="Line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ArWlob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0851DD72" w14:textId="77777777" w:rsidR="005B56E5" w:rsidRPr="00605B1D" w:rsidRDefault="005B56E5" w:rsidP="005B56E5">
    <w:pPr>
      <w:pStyle w:val="Footer"/>
      <w:tabs>
        <w:tab w:val="clear" w:pos="4320"/>
        <w:tab w:val="clear" w:pos="8640"/>
      </w:tabs>
      <w:spacing w:before="80"/>
      <w:rPr>
        <w:rFonts w:ascii="Corbel" w:hAnsi="Corbel"/>
        <w:b/>
        <w:sz w:val="15"/>
        <w:szCs w:val="15"/>
      </w:rPr>
    </w:pPr>
    <w:r w:rsidRPr="00605B1D">
      <w:rPr>
        <w:rFonts w:ascii="Corbel" w:hAnsi="Corbel"/>
        <w:b/>
        <w:sz w:val="15"/>
        <w:szCs w:val="15"/>
      </w:rPr>
      <w:t>HRVATSKA REGULATORNA AGENCIJA ZA MREŽNE DJELATNOSTI</w:t>
    </w:r>
  </w:p>
  <w:p w14:paraId="0851DD73" w14:textId="77777777" w:rsidR="00964B0D" w:rsidRPr="005B56E5" w:rsidRDefault="005B56E5" w:rsidP="005B56E5">
    <w:pPr>
      <w:pStyle w:val="Footer"/>
      <w:tabs>
        <w:tab w:val="clear" w:pos="4320"/>
        <w:tab w:val="clear" w:pos="8640"/>
      </w:tabs>
      <w:ind w:left="-142" w:right="-143"/>
      <w:rPr>
        <w:rFonts w:ascii="Corbel" w:hAnsi="Corbel"/>
        <w:sz w:val="15"/>
        <w:szCs w:val="15"/>
      </w:rPr>
    </w:pPr>
    <w:r w:rsidRPr="00605B1D">
      <w:rPr>
        <w:rFonts w:ascii="Corbel" w:hAnsi="Corbel"/>
        <w:sz w:val="15"/>
        <w:szCs w:val="15"/>
      </w:rPr>
      <w:t>Roberta Frangeša Mihanovi</w:t>
    </w:r>
    <w:r w:rsidRPr="00605B1D">
      <w:rPr>
        <w:rFonts w:ascii="Corbel" w:hAnsi="Corbel" w:cs="Cambria"/>
        <w:sz w:val="15"/>
        <w:szCs w:val="15"/>
      </w:rPr>
      <w:t>ć</w:t>
    </w:r>
    <w:r w:rsidRPr="00605B1D">
      <w:rPr>
        <w:rFonts w:ascii="Corbel" w:hAnsi="Corbel"/>
        <w:sz w:val="15"/>
        <w:szCs w:val="15"/>
      </w:rPr>
      <w:t>a 9, 10110 Zagreb / OIB: 87950783661 / Tel: (01) 7007 007, Faks: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9FD63" w14:textId="77777777" w:rsidR="00122455" w:rsidRDefault="00122455">
      <w:r>
        <w:separator/>
      </w:r>
    </w:p>
  </w:footnote>
  <w:footnote w:type="continuationSeparator" w:id="0">
    <w:p w14:paraId="2998258D" w14:textId="77777777" w:rsidR="00122455" w:rsidRDefault="00122455">
      <w:r>
        <w:continuationSeparator/>
      </w:r>
    </w:p>
  </w:footnote>
  <w:footnote w:id="1">
    <w:p w14:paraId="24DCE3FA" w14:textId="0E4FA305" w:rsidR="00C82726" w:rsidRDefault="00C827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281F">
        <w:t xml:space="preserve">Podaci o tužitelju su </w:t>
      </w:r>
      <w:proofErr w:type="spellStart"/>
      <w:r w:rsidRPr="007E281F">
        <w:t>anonimizirani</w:t>
      </w:r>
      <w:proofErr w:type="spellEnd"/>
      <w:r w:rsidRPr="007E281F">
        <w:t xml:space="preserve"> u svrhu zaštite osobnih podataka fizičkih osoba, sukladno propisima koji uređuju zaštitu osobnih podataka.</w:t>
      </w:r>
    </w:p>
  </w:footnote>
  <w:footnote w:id="2">
    <w:p w14:paraId="780E3DEB" w14:textId="535E5D44" w:rsidR="009A69C0" w:rsidRDefault="009A69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281F">
        <w:t xml:space="preserve">Podaci o tuženiku su </w:t>
      </w:r>
      <w:proofErr w:type="spellStart"/>
      <w:r w:rsidRPr="007E281F">
        <w:t>anonimizirani</w:t>
      </w:r>
      <w:proofErr w:type="spellEnd"/>
      <w:r w:rsidRPr="007E281F">
        <w:t xml:space="preserve"> u svrhu zaštite osobnih podataka fizičkih osoba, sukladno propisima koji uređuju zaštitu osobnih podataka.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DD6D" w14:textId="77777777" w:rsidR="00DC2C85" w:rsidRDefault="00DC2C85" w:rsidP="00731423">
    <w:pPr>
      <w:pStyle w:val="Header"/>
      <w:tabs>
        <w:tab w:val="clear" w:pos="4536"/>
        <w:tab w:val="clear" w:pos="9072"/>
      </w:tabs>
      <w:ind w:left="-360" w:right="-442"/>
      <w:jc w:val="center"/>
    </w:pPr>
  </w:p>
  <w:p w14:paraId="6C6E8E30" w14:textId="77777777" w:rsidR="00DD1540" w:rsidRDefault="00DD1540"/>
  <w:p w14:paraId="0D3823FC" w14:textId="77777777" w:rsidR="00DD1540" w:rsidRDefault="00DD1540"/>
  <w:p w14:paraId="7701011C" w14:textId="77777777" w:rsidR="00DD1540" w:rsidRDefault="00DD15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DD6E" w14:textId="77777777" w:rsidR="00DC2C85" w:rsidRDefault="000C0A11" w:rsidP="00192D15">
    <w:pPr>
      <w:pStyle w:val="Header"/>
      <w:tabs>
        <w:tab w:val="clear" w:pos="4536"/>
        <w:tab w:val="clear" w:pos="9072"/>
      </w:tabs>
      <w:ind w:left="-357" w:right="-357"/>
      <w:jc w:val="center"/>
    </w:pPr>
    <w:r w:rsidRPr="009F6CDB">
      <w:rPr>
        <w:noProof/>
      </w:rPr>
      <w:drawing>
        <wp:inline distT="0" distB="0" distL="0" distR="0" wp14:anchorId="0851DD74" wp14:editId="0851DD75">
          <wp:extent cx="1057523" cy="1025220"/>
          <wp:effectExtent l="0" t="0" r="0" b="3810"/>
          <wp:docPr id="23" name="Picture 23" descr="\\hzt.local\hakom\Mape_Odjela\KIS\Vizualni identitet HAKOM - javno\HAKOM color logotip 1 m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hzt.local\hakom\Mape_Odjela\KIS\Vizualni identitet HAKOM - javno\HAKOM color logotip 1 ma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152" cy="103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1DD6F" w14:textId="77777777" w:rsidR="00DC2C85" w:rsidRDefault="00DC2C85" w:rsidP="00192D15">
    <w:pPr>
      <w:pStyle w:val="Header"/>
      <w:tabs>
        <w:tab w:val="clear" w:pos="4536"/>
        <w:tab w:val="clear" w:pos="9072"/>
      </w:tabs>
      <w:ind w:left="-357" w:right="-357"/>
      <w:jc w:val="center"/>
    </w:pPr>
  </w:p>
  <w:p w14:paraId="0851DD70" w14:textId="77777777" w:rsidR="00DC2C85" w:rsidRDefault="00DC2C85" w:rsidP="00192D15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475"/>
    <w:multiLevelType w:val="hybridMultilevel"/>
    <w:tmpl w:val="62F00CF2"/>
    <w:lvl w:ilvl="0" w:tplc="041A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6B973DE"/>
    <w:multiLevelType w:val="hybridMultilevel"/>
    <w:tmpl w:val="4710B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453D"/>
    <w:multiLevelType w:val="hybridMultilevel"/>
    <w:tmpl w:val="8A6238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41434"/>
    <w:multiLevelType w:val="hybridMultilevel"/>
    <w:tmpl w:val="5F640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1CDE"/>
    <w:multiLevelType w:val="hybridMultilevel"/>
    <w:tmpl w:val="60480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D71DC"/>
    <w:multiLevelType w:val="hybridMultilevel"/>
    <w:tmpl w:val="BD4A7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A6C40"/>
    <w:multiLevelType w:val="hybridMultilevel"/>
    <w:tmpl w:val="3E444194"/>
    <w:lvl w:ilvl="0" w:tplc="9D0A0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B20BF"/>
    <w:multiLevelType w:val="hybridMultilevel"/>
    <w:tmpl w:val="11C2B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E0300"/>
    <w:multiLevelType w:val="hybridMultilevel"/>
    <w:tmpl w:val="8AD24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C2A97"/>
    <w:multiLevelType w:val="hybridMultilevel"/>
    <w:tmpl w:val="B51C9788"/>
    <w:lvl w:ilvl="0" w:tplc="2248A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75E8E"/>
    <w:multiLevelType w:val="hybridMultilevel"/>
    <w:tmpl w:val="645CB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03754"/>
    <w:multiLevelType w:val="hybridMultilevel"/>
    <w:tmpl w:val="02ACD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D1F3D"/>
    <w:multiLevelType w:val="hybridMultilevel"/>
    <w:tmpl w:val="4710B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>
      <o:colormru v:ext="edit" colors="#02418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7"/>
    <w:rsid w:val="00000CB3"/>
    <w:rsid w:val="00006B58"/>
    <w:rsid w:val="00017189"/>
    <w:rsid w:val="0003136C"/>
    <w:rsid w:val="0004545D"/>
    <w:rsid w:val="00051EA5"/>
    <w:rsid w:val="00054A60"/>
    <w:rsid w:val="00055961"/>
    <w:rsid w:val="00064A4F"/>
    <w:rsid w:val="0007000C"/>
    <w:rsid w:val="000714E2"/>
    <w:rsid w:val="00080E87"/>
    <w:rsid w:val="00085297"/>
    <w:rsid w:val="000932FA"/>
    <w:rsid w:val="000A758B"/>
    <w:rsid w:val="000B2F35"/>
    <w:rsid w:val="000B7D89"/>
    <w:rsid w:val="000C0A11"/>
    <w:rsid w:val="000C4706"/>
    <w:rsid w:val="000D1064"/>
    <w:rsid w:val="000D301C"/>
    <w:rsid w:val="000E3C2F"/>
    <w:rsid w:val="000F1654"/>
    <w:rsid w:val="00102D87"/>
    <w:rsid w:val="00103FB9"/>
    <w:rsid w:val="001065A9"/>
    <w:rsid w:val="00115A2F"/>
    <w:rsid w:val="00117537"/>
    <w:rsid w:val="00120AA8"/>
    <w:rsid w:val="00121580"/>
    <w:rsid w:val="001220A2"/>
    <w:rsid w:val="00122455"/>
    <w:rsid w:val="00124418"/>
    <w:rsid w:val="0013500D"/>
    <w:rsid w:val="00135061"/>
    <w:rsid w:val="00136D40"/>
    <w:rsid w:val="001410D6"/>
    <w:rsid w:val="001418EC"/>
    <w:rsid w:val="0014467F"/>
    <w:rsid w:val="00145C97"/>
    <w:rsid w:val="00155184"/>
    <w:rsid w:val="0015718F"/>
    <w:rsid w:val="001608B7"/>
    <w:rsid w:val="0016573D"/>
    <w:rsid w:val="00165B16"/>
    <w:rsid w:val="00171FAE"/>
    <w:rsid w:val="00186556"/>
    <w:rsid w:val="00192D15"/>
    <w:rsid w:val="00192D64"/>
    <w:rsid w:val="00195F79"/>
    <w:rsid w:val="00196D72"/>
    <w:rsid w:val="001A592A"/>
    <w:rsid w:val="001B6130"/>
    <w:rsid w:val="001B704E"/>
    <w:rsid w:val="001B7BC1"/>
    <w:rsid w:val="001C1B61"/>
    <w:rsid w:val="001C2285"/>
    <w:rsid w:val="001C46F0"/>
    <w:rsid w:val="001E49BB"/>
    <w:rsid w:val="001F2467"/>
    <w:rsid w:val="001F58AF"/>
    <w:rsid w:val="001F5A39"/>
    <w:rsid w:val="00201929"/>
    <w:rsid w:val="00202D22"/>
    <w:rsid w:val="00206F40"/>
    <w:rsid w:val="0021663B"/>
    <w:rsid w:val="00227EF4"/>
    <w:rsid w:val="002307B2"/>
    <w:rsid w:val="00232E77"/>
    <w:rsid w:val="00237396"/>
    <w:rsid w:val="00244A64"/>
    <w:rsid w:val="00250E16"/>
    <w:rsid w:val="00267CF5"/>
    <w:rsid w:val="002A198F"/>
    <w:rsid w:val="002A317F"/>
    <w:rsid w:val="002A7759"/>
    <w:rsid w:val="002B0473"/>
    <w:rsid w:val="002B2F14"/>
    <w:rsid w:val="002B3EA8"/>
    <w:rsid w:val="002B6E48"/>
    <w:rsid w:val="002C11BC"/>
    <w:rsid w:val="002C2493"/>
    <w:rsid w:val="002C7575"/>
    <w:rsid w:val="002C7E41"/>
    <w:rsid w:val="002E5A2F"/>
    <w:rsid w:val="002E5C32"/>
    <w:rsid w:val="002F27B2"/>
    <w:rsid w:val="00303CA9"/>
    <w:rsid w:val="003043EE"/>
    <w:rsid w:val="003072CA"/>
    <w:rsid w:val="00307D4B"/>
    <w:rsid w:val="00310964"/>
    <w:rsid w:val="003124AE"/>
    <w:rsid w:val="00316257"/>
    <w:rsid w:val="0031736F"/>
    <w:rsid w:val="0032262F"/>
    <w:rsid w:val="003250CA"/>
    <w:rsid w:val="00330E24"/>
    <w:rsid w:val="00340983"/>
    <w:rsid w:val="0034511A"/>
    <w:rsid w:val="003456BD"/>
    <w:rsid w:val="003462FD"/>
    <w:rsid w:val="00350E4E"/>
    <w:rsid w:val="00370283"/>
    <w:rsid w:val="003755D4"/>
    <w:rsid w:val="00376FDB"/>
    <w:rsid w:val="0039311C"/>
    <w:rsid w:val="003A6B22"/>
    <w:rsid w:val="003A75B4"/>
    <w:rsid w:val="003A7EC4"/>
    <w:rsid w:val="003B4120"/>
    <w:rsid w:val="003D051E"/>
    <w:rsid w:val="003D77EC"/>
    <w:rsid w:val="003D7AE9"/>
    <w:rsid w:val="003D7F2D"/>
    <w:rsid w:val="003E39D1"/>
    <w:rsid w:val="003F0CD5"/>
    <w:rsid w:val="003F3FB3"/>
    <w:rsid w:val="00407BB1"/>
    <w:rsid w:val="004161EC"/>
    <w:rsid w:val="0041737F"/>
    <w:rsid w:val="00421418"/>
    <w:rsid w:val="00421585"/>
    <w:rsid w:val="0043145F"/>
    <w:rsid w:val="00441FAE"/>
    <w:rsid w:val="0044375C"/>
    <w:rsid w:val="00467F65"/>
    <w:rsid w:val="00471CD1"/>
    <w:rsid w:val="00480DF3"/>
    <w:rsid w:val="0048191C"/>
    <w:rsid w:val="0048294D"/>
    <w:rsid w:val="004842B7"/>
    <w:rsid w:val="004873AC"/>
    <w:rsid w:val="00492923"/>
    <w:rsid w:val="00496B60"/>
    <w:rsid w:val="004A6DDC"/>
    <w:rsid w:val="004C2332"/>
    <w:rsid w:val="004C6004"/>
    <w:rsid w:val="004E413C"/>
    <w:rsid w:val="00502C63"/>
    <w:rsid w:val="00505C3F"/>
    <w:rsid w:val="00507DEB"/>
    <w:rsid w:val="00515169"/>
    <w:rsid w:val="00515478"/>
    <w:rsid w:val="00517DF5"/>
    <w:rsid w:val="00522B91"/>
    <w:rsid w:val="00526800"/>
    <w:rsid w:val="0053124D"/>
    <w:rsid w:val="0053284B"/>
    <w:rsid w:val="0053611C"/>
    <w:rsid w:val="005451A9"/>
    <w:rsid w:val="005569C7"/>
    <w:rsid w:val="00565848"/>
    <w:rsid w:val="00572A77"/>
    <w:rsid w:val="00573850"/>
    <w:rsid w:val="005768FD"/>
    <w:rsid w:val="005973C7"/>
    <w:rsid w:val="005A2030"/>
    <w:rsid w:val="005A3F46"/>
    <w:rsid w:val="005B56E5"/>
    <w:rsid w:val="005B7122"/>
    <w:rsid w:val="005D00F7"/>
    <w:rsid w:val="005D20A6"/>
    <w:rsid w:val="005D633C"/>
    <w:rsid w:val="005E2C28"/>
    <w:rsid w:val="005E30C0"/>
    <w:rsid w:val="005E34F6"/>
    <w:rsid w:val="005E5F19"/>
    <w:rsid w:val="005E67B1"/>
    <w:rsid w:val="005F357B"/>
    <w:rsid w:val="005F3BAF"/>
    <w:rsid w:val="006013FD"/>
    <w:rsid w:val="006079FC"/>
    <w:rsid w:val="00607E19"/>
    <w:rsid w:val="0061318D"/>
    <w:rsid w:val="00613A45"/>
    <w:rsid w:val="006140BB"/>
    <w:rsid w:val="00615A7F"/>
    <w:rsid w:val="0062475F"/>
    <w:rsid w:val="00624E31"/>
    <w:rsid w:val="006325C1"/>
    <w:rsid w:val="006370B5"/>
    <w:rsid w:val="00637D7D"/>
    <w:rsid w:val="00642327"/>
    <w:rsid w:val="00642D56"/>
    <w:rsid w:val="0065292C"/>
    <w:rsid w:val="00661B01"/>
    <w:rsid w:val="0066434A"/>
    <w:rsid w:val="00667974"/>
    <w:rsid w:val="00671E81"/>
    <w:rsid w:val="006804E8"/>
    <w:rsid w:val="0068193A"/>
    <w:rsid w:val="00693210"/>
    <w:rsid w:val="00693ADD"/>
    <w:rsid w:val="006A082D"/>
    <w:rsid w:val="006B78DA"/>
    <w:rsid w:val="006C7F33"/>
    <w:rsid w:val="006D461E"/>
    <w:rsid w:val="006D4A70"/>
    <w:rsid w:val="006E189A"/>
    <w:rsid w:val="006F32B7"/>
    <w:rsid w:val="00700230"/>
    <w:rsid w:val="00702429"/>
    <w:rsid w:val="0072124E"/>
    <w:rsid w:val="00731423"/>
    <w:rsid w:val="00732966"/>
    <w:rsid w:val="007447D5"/>
    <w:rsid w:val="007448D5"/>
    <w:rsid w:val="0074681E"/>
    <w:rsid w:val="00746C31"/>
    <w:rsid w:val="0075691E"/>
    <w:rsid w:val="0076137A"/>
    <w:rsid w:val="007673DC"/>
    <w:rsid w:val="00785898"/>
    <w:rsid w:val="007867AD"/>
    <w:rsid w:val="00790B68"/>
    <w:rsid w:val="00792063"/>
    <w:rsid w:val="00793180"/>
    <w:rsid w:val="007938FD"/>
    <w:rsid w:val="00794585"/>
    <w:rsid w:val="00794EF8"/>
    <w:rsid w:val="007A08B5"/>
    <w:rsid w:val="007A3C1F"/>
    <w:rsid w:val="007A7E39"/>
    <w:rsid w:val="007B24A0"/>
    <w:rsid w:val="007C504C"/>
    <w:rsid w:val="007D0C2E"/>
    <w:rsid w:val="007D24E5"/>
    <w:rsid w:val="007D6C79"/>
    <w:rsid w:val="007D7B00"/>
    <w:rsid w:val="007E000F"/>
    <w:rsid w:val="007F4DA6"/>
    <w:rsid w:val="00805473"/>
    <w:rsid w:val="00807EFB"/>
    <w:rsid w:val="0081419C"/>
    <w:rsid w:val="00814853"/>
    <w:rsid w:val="00814EA6"/>
    <w:rsid w:val="00816926"/>
    <w:rsid w:val="00821131"/>
    <w:rsid w:val="00845AD6"/>
    <w:rsid w:val="008639AE"/>
    <w:rsid w:val="00871283"/>
    <w:rsid w:val="008762A4"/>
    <w:rsid w:val="00893B85"/>
    <w:rsid w:val="0089452C"/>
    <w:rsid w:val="00894C21"/>
    <w:rsid w:val="00895989"/>
    <w:rsid w:val="008968BE"/>
    <w:rsid w:val="008A3869"/>
    <w:rsid w:val="008B40DC"/>
    <w:rsid w:val="008C159C"/>
    <w:rsid w:val="008C50C7"/>
    <w:rsid w:val="008E3D49"/>
    <w:rsid w:val="008E4BBA"/>
    <w:rsid w:val="008F1418"/>
    <w:rsid w:val="008F4642"/>
    <w:rsid w:val="009069C9"/>
    <w:rsid w:val="00907F50"/>
    <w:rsid w:val="0091001E"/>
    <w:rsid w:val="00910F41"/>
    <w:rsid w:val="0091327E"/>
    <w:rsid w:val="00914CC5"/>
    <w:rsid w:val="0092212F"/>
    <w:rsid w:val="00931300"/>
    <w:rsid w:val="00933F20"/>
    <w:rsid w:val="00935CFC"/>
    <w:rsid w:val="0094310D"/>
    <w:rsid w:val="009448C6"/>
    <w:rsid w:val="0094510E"/>
    <w:rsid w:val="009568E1"/>
    <w:rsid w:val="00956C19"/>
    <w:rsid w:val="00961B70"/>
    <w:rsid w:val="009638CD"/>
    <w:rsid w:val="00964B0D"/>
    <w:rsid w:val="00965F6A"/>
    <w:rsid w:val="00972D68"/>
    <w:rsid w:val="009767D9"/>
    <w:rsid w:val="00986F67"/>
    <w:rsid w:val="00992652"/>
    <w:rsid w:val="00995A96"/>
    <w:rsid w:val="0099643B"/>
    <w:rsid w:val="009A57FC"/>
    <w:rsid w:val="009A69C0"/>
    <w:rsid w:val="009A7313"/>
    <w:rsid w:val="009B3BA6"/>
    <w:rsid w:val="009B433A"/>
    <w:rsid w:val="009D0ABC"/>
    <w:rsid w:val="009E658B"/>
    <w:rsid w:val="009E6D25"/>
    <w:rsid w:val="009F2E1F"/>
    <w:rsid w:val="009F3FBB"/>
    <w:rsid w:val="009F6C20"/>
    <w:rsid w:val="00A03CA8"/>
    <w:rsid w:val="00A04D4D"/>
    <w:rsid w:val="00A13AAF"/>
    <w:rsid w:val="00A31AE4"/>
    <w:rsid w:val="00A41300"/>
    <w:rsid w:val="00A458D5"/>
    <w:rsid w:val="00A461D4"/>
    <w:rsid w:val="00A615C9"/>
    <w:rsid w:val="00A65998"/>
    <w:rsid w:val="00A716DD"/>
    <w:rsid w:val="00A72D21"/>
    <w:rsid w:val="00A9181A"/>
    <w:rsid w:val="00AB633E"/>
    <w:rsid w:val="00AC5FAF"/>
    <w:rsid w:val="00AC7740"/>
    <w:rsid w:val="00AD2C3F"/>
    <w:rsid w:val="00AD3E6A"/>
    <w:rsid w:val="00AD421E"/>
    <w:rsid w:val="00AE2703"/>
    <w:rsid w:val="00AE61BB"/>
    <w:rsid w:val="00AF02D7"/>
    <w:rsid w:val="00AF6C67"/>
    <w:rsid w:val="00B01212"/>
    <w:rsid w:val="00B02464"/>
    <w:rsid w:val="00B02605"/>
    <w:rsid w:val="00B0387C"/>
    <w:rsid w:val="00B14C1E"/>
    <w:rsid w:val="00B23348"/>
    <w:rsid w:val="00B279FE"/>
    <w:rsid w:val="00B31394"/>
    <w:rsid w:val="00B376A7"/>
    <w:rsid w:val="00B40B0F"/>
    <w:rsid w:val="00B42A6A"/>
    <w:rsid w:val="00B527D1"/>
    <w:rsid w:val="00B5336D"/>
    <w:rsid w:val="00B56FFA"/>
    <w:rsid w:val="00B671D7"/>
    <w:rsid w:val="00B71759"/>
    <w:rsid w:val="00B72942"/>
    <w:rsid w:val="00B77742"/>
    <w:rsid w:val="00B862B2"/>
    <w:rsid w:val="00B86E52"/>
    <w:rsid w:val="00B95B47"/>
    <w:rsid w:val="00B97CFE"/>
    <w:rsid w:val="00BC0AC9"/>
    <w:rsid w:val="00BC1C56"/>
    <w:rsid w:val="00BC3566"/>
    <w:rsid w:val="00BD0184"/>
    <w:rsid w:val="00BD3224"/>
    <w:rsid w:val="00BE10C2"/>
    <w:rsid w:val="00BE45EA"/>
    <w:rsid w:val="00BF31D9"/>
    <w:rsid w:val="00BF6F02"/>
    <w:rsid w:val="00C0572F"/>
    <w:rsid w:val="00C07D26"/>
    <w:rsid w:val="00C14A4E"/>
    <w:rsid w:val="00C16B18"/>
    <w:rsid w:val="00C243E0"/>
    <w:rsid w:val="00C3040B"/>
    <w:rsid w:val="00C362BD"/>
    <w:rsid w:val="00C511C1"/>
    <w:rsid w:val="00C52FE9"/>
    <w:rsid w:val="00C548F8"/>
    <w:rsid w:val="00C56F5F"/>
    <w:rsid w:val="00C71216"/>
    <w:rsid w:val="00C75A0F"/>
    <w:rsid w:val="00C75C45"/>
    <w:rsid w:val="00C82726"/>
    <w:rsid w:val="00CA47AB"/>
    <w:rsid w:val="00CA7187"/>
    <w:rsid w:val="00CB1C16"/>
    <w:rsid w:val="00CB323B"/>
    <w:rsid w:val="00CB4BB1"/>
    <w:rsid w:val="00CB65AD"/>
    <w:rsid w:val="00CC2923"/>
    <w:rsid w:val="00CC5C89"/>
    <w:rsid w:val="00CD27AC"/>
    <w:rsid w:val="00CE0DF7"/>
    <w:rsid w:val="00CE620B"/>
    <w:rsid w:val="00D11282"/>
    <w:rsid w:val="00D36EDA"/>
    <w:rsid w:val="00D703E2"/>
    <w:rsid w:val="00D83F0A"/>
    <w:rsid w:val="00D872F8"/>
    <w:rsid w:val="00D91324"/>
    <w:rsid w:val="00D925CA"/>
    <w:rsid w:val="00DA4028"/>
    <w:rsid w:val="00DB5CBF"/>
    <w:rsid w:val="00DC2C85"/>
    <w:rsid w:val="00DC4BA7"/>
    <w:rsid w:val="00DC50E5"/>
    <w:rsid w:val="00DD0F42"/>
    <w:rsid w:val="00DD1540"/>
    <w:rsid w:val="00DD243E"/>
    <w:rsid w:val="00DE4EEB"/>
    <w:rsid w:val="00DE6EA9"/>
    <w:rsid w:val="00DF1FDA"/>
    <w:rsid w:val="00DF565B"/>
    <w:rsid w:val="00E071AA"/>
    <w:rsid w:val="00E076BF"/>
    <w:rsid w:val="00E10275"/>
    <w:rsid w:val="00E12428"/>
    <w:rsid w:val="00E131D8"/>
    <w:rsid w:val="00E20330"/>
    <w:rsid w:val="00E25FCB"/>
    <w:rsid w:val="00E2664D"/>
    <w:rsid w:val="00E278F9"/>
    <w:rsid w:val="00E35E24"/>
    <w:rsid w:val="00E51307"/>
    <w:rsid w:val="00E53520"/>
    <w:rsid w:val="00E57DCB"/>
    <w:rsid w:val="00E66AFA"/>
    <w:rsid w:val="00E8066C"/>
    <w:rsid w:val="00E858A7"/>
    <w:rsid w:val="00E919CB"/>
    <w:rsid w:val="00E93D92"/>
    <w:rsid w:val="00E9407B"/>
    <w:rsid w:val="00E965C0"/>
    <w:rsid w:val="00E97FD9"/>
    <w:rsid w:val="00EA13F2"/>
    <w:rsid w:val="00EA647A"/>
    <w:rsid w:val="00EA6B87"/>
    <w:rsid w:val="00EA6DE2"/>
    <w:rsid w:val="00EB3236"/>
    <w:rsid w:val="00EC5BA0"/>
    <w:rsid w:val="00EC76A2"/>
    <w:rsid w:val="00ED5791"/>
    <w:rsid w:val="00EE6009"/>
    <w:rsid w:val="00EF1596"/>
    <w:rsid w:val="00EF6DBD"/>
    <w:rsid w:val="00F02790"/>
    <w:rsid w:val="00F02BC9"/>
    <w:rsid w:val="00F07B27"/>
    <w:rsid w:val="00F07E14"/>
    <w:rsid w:val="00F1462E"/>
    <w:rsid w:val="00F1525B"/>
    <w:rsid w:val="00F336CD"/>
    <w:rsid w:val="00F36C0C"/>
    <w:rsid w:val="00F53C9C"/>
    <w:rsid w:val="00F57AE3"/>
    <w:rsid w:val="00F73C9A"/>
    <w:rsid w:val="00F82F57"/>
    <w:rsid w:val="00F86C17"/>
    <w:rsid w:val="00FA01B6"/>
    <w:rsid w:val="00FA3130"/>
    <w:rsid w:val="00FA3260"/>
    <w:rsid w:val="00FA67E0"/>
    <w:rsid w:val="00FB12CA"/>
    <w:rsid w:val="00FB2863"/>
    <w:rsid w:val="00FB54D1"/>
    <w:rsid w:val="00FC0886"/>
    <w:rsid w:val="00FC6319"/>
    <w:rsid w:val="00FD1BD9"/>
    <w:rsid w:val="00FD7E3B"/>
    <w:rsid w:val="00FF339A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24182"/>
    </o:shapedefaults>
    <o:shapelayout v:ext="edit">
      <o:idmap v:ext="edit" data="1"/>
    </o:shapelayout>
  </w:shapeDefaults>
  <w:decimalSymbol w:val=","/>
  <w:listSeparator w:val=";"/>
  <w14:docId w14:val="0851DD54"/>
  <w15:docId w15:val="{DD07A0CE-AF41-471B-BECA-8FAF64FD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link w:val="FooterChar"/>
    <w:uiPriority w:val="99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rsid w:val="00A615C9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uiPriority w:val="39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AF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63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370B5"/>
    <w:rPr>
      <w:rFonts w:ascii="Calibri" w:hAnsi="Calibri"/>
      <w:color w:val="024182"/>
      <w:sz w:val="16"/>
    </w:rPr>
  </w:style>
  <w:style w:type="table" w:customStyle="1" w:styleId="TableGrid3">
    <w:name w:val="Table Grid3"/>
    <w:basedOn w:val="TableNormal"/>
    <w:next w:val="TableGrid"/>
    <w:uiPriority w:val="59"/>
    <w:rsid w:val="00E535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535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3F3F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FB3"/>
  </w:style>
  <w:style w:type="character" w:styleId="FootnoteReference">
    <w:name w:val="footnote reference"/>
    <w:basedOn w:val="DefaultParagraphFont"/>
    <w:semiHidden/>
    <w:unhideWhenUsed/>
    <w:rsid w:val="003F3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4D133891958459AE81003228E31AE" ma:contentTypeVersion="3" ma:contentTypeDescription="Stvaranje novog dokumenta." ma:contentTypeScope="" ma:versionID="ed2ea0fc914c9fe856b16804f9017ec3">
  <xsd:schema xmlns:xsd="http://www.w3.org/2001/XMLSchema" xmlns:xs="http://www.w3.org/2001/XMLSchema" xmlns:p="http://schemas.microsoft.com/office/2006/metadata/properties" xmlns:ns2="f45d8b5b-b624-41fb-afb8-da03212d0f19" targetNamespace="http://schemas.microsoft.com/office/2006/metadata/properties" ma:root="true" ma:fieldsID="252a417815a7f7c55b63c71a016e8da7" ns2:_="">
    <xsd:import namespace="f45d8b5b-b624-41fb-afb8-da03212d0f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8b5b-b624-41fb-afb8-da03212d0f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F885-87C8-419C-A7E2-6E6EF0AD4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6945B-9DB6-418A-824E-F9B948076F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3F1B32-05A0-4A83-998A-EACFC2E2E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8b5b-b624-41fb-afb8-da03212d0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891E2-DE3F-47C9-9F69-02C6699E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3256</Words>
  <Characters>18560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Predsjednik</vt:lpstr>
      <vt:lpstr>Memorandum - Executive director</vt:lpstr>
    </vt:vector>
  </TitlesOfParts>
  <Manager>Mirjana Todorić</Manager>
  <Company>HAKOM</Company>
  <LinksUpToDate>false</LinksUpToDate>
  <CharactersWithSpaces>21773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</dc:title>
  <dc:subject>Memorandum</dc:subject>
  <dc:creator>Cornelia Krušlin</dc:creator>
  <cp:keywords>English version</cp:keywords>
  <cp:lastModifiedBy>Sanja Hrvoj</cp:lastModifiedBy>
  <cp:revision>305</cp:revision>
  <cp:lastPrinted>2009-11-10T13:16:00Z</cp:lastPrinted>
  <dcterms:created xsi:type="dcterms:W3CDTF">2021-01-09T11:36:00Z</dcterms:created>
  <dcterms:modified xsi:type="dcterms:W3CDTF">2021-01-27T17:07:00Z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Odjel">
    <vt:lpwstr>Zajednički poslovi</vt:lpwstr>
  </property>
  <property fmtid="{D5CDD505-2E9C-101B-9397-08002B2CF9AE}" pid="6" name="Office">
    <vt:lpwstr>HAKOM</vt:lpwstr>
  </property>
  <property fmtid="{D5CDD505-2E9C-101B-9397-08002B2CF9AE}" pid="7" name="Provjerio">
    <vt:lpwstr>Mirjana Todorić</vt:lpwstr>
  </property>
  <property fmtid="{D5CDD505-2E9C-101B-9397-08002B2CF9AE}" pid="8" name="Uređivač">
    <vt:lpwstr>Cornelia Krušlin</vt:lpwstr>
  </property>
  <property fmtid="{D5CDD505-2E9C-101B-9397-08002B2CF9AE}" pid="9" name="Vlasnik">
    <vt:lpwstr>HAKOM</vt:lpwstr>
  </property>
  <property fmtid="{D5CDD505-2E9C-101B-9397-08002B2CF9AE}" pid="10" name="Jezik">
    <vt:lpwstr>engleski</vt:lpwstr>
  </property>
  <property fmtid="{D5CDD505-2E9C-101B-9397-08002B2CF9AE}" pid="11" name="ContentTypeId">
    <vt:lpwstr>0x0101005F64D133891958459AE81003228E31AE</vt:lpwstr>
  </property>
  <property fmtid="{D5CDD505-2E9C-101B-9397-08002B2CF9AE}" pid="12" name="Order">
    <vt:r8>249100</vt:r8>
  </property>
  <property fmtid="{D5CDD505-2E9C-101B-9397-08002B2CF9AE}" pid="13" name="TemplateUr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</Properties>
</file>