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F05498" w14:textId="77777777" w:rsidR="00A65998" w:rsidRPr="006419B6" w:rsidRDefault="00A65998" w:rsidP="00A65998">
      <w:pPr>
        <w:suppressAutoHyphens/>
        <w:spacing w:after="160" w:line="259" w:lineRule="auto"/>
        <w:rPr>
          <w:rFonts w:eastAsia="Calibri"/>
          <w:lang w:eastAsia="en-US"/>
        </w:rPr>
      </w:pPr>
      <w:r w:rsidRPr="006419B6">
        <w:rPr>
          <w:rFonts w:eastAsia="Calibri"/>
          <w:noProof/>
        </w:rPr>
        <w:t>HRVATSKA REGULATORNA AGENCIJA ZA MREŽNE DJELATNOSTI - HAKOM</w:t>
      </w:r>
    </w:p>
    <w:p w14:paraId="32304C19" w14:textId="7FC847BE" w:rsidR="00A65998" w:rsidRDefault="00A65998" w:rsidP="00A65998">
      <w:pPr>
        <w:suppressAutoHyphens/>
        <w:spacing w:after="160" w:line="259" w:lineRule="auto"/>
        <w:rPr>
          <w:rFonts w:eastAsia="Calibri"/>
          <w:lang w:eastAsia="en-US"/>
        </w:rPr>
      </w:pPr>
      <w:r w:rsidRPr="006419B6">
        <w:rPr>
          <w:rFonts w:eastAsia="Calibri"/>
          <w:lang w:eastAsia="en-US"/>
        </w:rPr>
        <w:t>RKP: 45902</w:t>
      </w:r>
      <w:r>
        <w:rPr>
          <w:rFonts w:eastAsia="Calibri"/>
          <w:lang w:eastAsia="en-US"/>
        </w:rPr>
        <w:t xml:space="preserve">, </w:t>
      </w:r>
      <w:r w:rsidRPr="006419B6">
        <w:rPr>
          <w:rFonts w:eastAsia="Calibri"/>
          <w:lang w:eastAsia="en-US"/>
        </w:rPr>
        <w:t>OIB: 87950783661</w:t>
      </w:r>
    </w:p>
    <w:p w14:paraId="3C1EDDC1" w14:textId="77777777" w:rsidR="00267CF5" w:rsidRPr="006419B6" w:rsidRDefault="00267CF5" w:rsidP="00A65998">
      <w:pPr>
        <w:suppressAutoHyphens/>
        <w:spacing w:after="160" w:line="259" w:lineRule="auto"/>
        <w:rPr>
          <w:rFonts w:eastAsia="Calibri"/>
          <w:lang w:eastAsia="en-US"/>
        </w:rPr>
      </w:pPr>
    </w:p>
    <w:p w14:paraId="01E41F32" w14:textId="77777777" w:rsidR="00A65998" w:rsidRPr="006419B6" w:rsidRDefault="00A65998" w:rsidP="00A65998">
      <w:pPr>
        <w:suppressAutoHyphens/>
        <w:spacing w:after="160" w:line="259" w:lineRule="auto"/>
        <w:jc w:val="center"/>
        <w:rPr>
          <w:rFonts w:eastAsia="Calibri"/>
          <w:b/>
          <w:lang w:eastAsia="en-US"/>
        </w:rPr>
      </w:pPr>
      <w:r w:rsidRPr="006419B6">
        <w:rPr>
          <w:rFonts w:eastAsia="Calibri"/>
          <w:b/>
          <w:lang w:eastAsia="en-US"/>
        </w:rPr>
        <w:t xml:space="preserve">BILJEŠKE UZ FINANCIJSKE IZVJEŠTAJE </w:t>
      </w:r>
    </w:p>
    <w:p w14:paraId="278D78EA" w14:textId="77777777" w:rsidR="00A65998" w:rsidRPr="006419B6" w:rsidRDefault="00A65998" w:rsidP="00A65998">
      <w:pPr>
        <w:suppressAutoHyphens/>
        <w:spacing w:after="160" w:line="259" w:lineRule="auto"/>
        <w:jc w:val="center"/>
        <w:rPr>
          <w:rFonts w:eastAsia="Calibri"/>
          <w:b/>
          <w:lang w:eastAsia="en-US"/>
        </w:rPr>
      </w:pPr>
      <w:r w:rsidRPr="006419B6">
        <w:rPr>
          <w:rFonts w:eastAsia="Calibri"/>
          <w:b/>
          <w:lang w:eastAsia="en-US"/>
        </w:rPr>
        <w:t xml:space="preserve">HRVATSKE REGULATORNE AGENCIJE ZA MREŽNE DJELATNOSTI </w:t>
      </w:r>
    </w:p>
    <w:p w14:paraId="1B0BE06A" w14:textId="403B0856" w:rsidR="00A65998" w:rsidRPr="006419B6" w:rsidRDefault="00A65998" w:rsidP="00267CF5">
      <w:pPr>
        <w:suppressAutoHyphens/>
        <w:spacing w:after="160" w:line="259" w:lineRule="auto"/>
        <w:jc w:val="center"/>
        <w:rPr>
          <w:rFonts w:eastAsia="Calibri"/>
          <w:b/>
          <w:lang w:eastAsia="en-US"/>
        </w:rPr>
      </w:pPr>
      <w:r w:rsidRPr="006419B6">
        <w:rPr>
          <w:rFonts w:eastAsia="Calibri"/>
          <w:b/>
          <w:lang w:eastAsia="en-US"/>
        </w:rPr>
        <w:t>ZA RAZDOBLJE OD 1. SIJEČNJA DO 3</w:t>
      </w:r>
      <w:r w:rsidR="0081419C">
        <w:rPr>
          <w:rFonts w:eastAsia="Calibri"/>
          <w:b/>
          <w:lang w:eastAsia="en-US"/>
        </w:rPr>
        <w:t>1. PROSINCA</w:t>
      </w:r>
      <w:r w:rsidRPr="006419B6">
        <w:rPr>
          <w:rFonts w:eastAsia="Calibri"/>
          <w:b/>
          <w:lang w:eastAsia="en-US"/>
        </w:rPr>
        <w:t xml:space="preserve"> 202</w:t>
      </w:r>
      <w:r w:rsidR="00EB567B">
        <w:rPr>
          <w:rFonts w:eastAsia="Calibri"/>
          <w:b/>
          <w:lang w:eastAsia="en-US"/>
        </w:rPr>
        <w:t>1</w:t>
      </w:r>
      <w:r w:rsidRPr="006419B6">
        <w:rPr>
          <w:rFonts w:eastAsia="Calibri"/>
          <w:b/>
          <w:lang w:eastAsia="en-US"/>
        </w:rPr>
        <w:t>.</w:t>
      </w:r>
    </w:p>
    <w:p w14:paraId="31ACF6BC" w14:textId="77DC27AE" w:rsidR="00A65998" w:rsidRDefault="00A65998" w:rsidP="00A65998">
      <w:pPr>
        <w:suppressAutoHyphens/>
        <w:spacing w:after="160" w:line="259" w:lineRule="auto"/>
        <w:jc w:val="both"/>
        <w:rPr>
          <w:rFonts w:eastAsia="Calibri"/>
          <w:lang w:eastAsia="en-US"/>
        </w:rPr>
      </w:pPr>
      <w:r w:rsidRPr="006419B6">
        <w:rPr>
          <w:rFonts w:eastAsia="Calibri"/>
          <w:lang w:eastAsia="en-US"/>
        </w:rPr>
        <w:t>Financijski izvještaji Hrvatske regulatorne agencije za mrežne djelatnosti (dalje: HAKOM) za razdoblje od 1. siječnja do 3</w:t>
      </w:r>
      <w:r w:rsidR="0081419C">
        <w:rPr>
          <w:rFonts w:eastAsia="Calibri"/>
          <w:lang w:eastAsia="en-US"/>
        </w:rPr>
        <w:t>1</w:t>
      </w:r>
      <w:r w:rsidRPr="006419B6">
        <w:rPr>
          <w:rFonts w:eastAsia="Calibri"/>
          <w:lang w:eastAsia="en-US"/>
        </w:rPr>
        <w:t xml:space="preserve">. </w:t>
      </w:r>
      <w:r w:rsidR="0081419C">
        <w:rPr>
          <w:rFonts w:eastAsia="Calibri"/>
          <w:lang w:eastAsia="en-US"/>
        </w:rPr>
        <w:t>prosinca</w:t>
      </w:r>
      <w:r w:rsidRPr="006419B6">
        <w:rPr>
          <w:rFonts w:eastAsia="Calibri"/>
          <w:lang w:eastAsia="en-US"/>
        </w:rPr>
        <w:t xml:space="preserve"> 202</w:t>
      </w:r>
      <w:r w:rsidR="000057FD">
        <w:rPr>
          <w:rFonts w:eastAsia="Calibri"/>
          <w:lang w:eastAsia="en-US"/>
        </w:rPr>
        <w:t>1</w:t>
      </w:r>
      <w:r w:rsidRPr="006419B6">
        <w:rPr>
          <w:rFonts w:eastAsia="Calibri"/>
          <w:lang w:eastAsia="en-US"/>
        </w:rPr>
        <w:t xml:space="preserve">. izrađeni su sukladno Zakonu o proračunu (NN br. 87/08, 136/12 i 15/15), Pravilniku o proračunskom računovodstvu i </w:t>
      </w:r>
      <w:r w:rsidR="00F07E14">
        <w:rPr>
          <w:rFonts w:eastAsia="Calibri"/>
          <w:lang w:eastAsia="en-US"/>
        </w:rPr>
        <w:t>R</w:t>
      </w:r>
      <w:r w:rsidRPr="006419B6">
        <w:rPr>
          <w:rFonts w:eastAsia="Calibri"/>
          <w:lang w:eastAsia="en-US"/>
        </w:rPr>
        <w:t>ačunskom planu (NN br</w:t>
      </w:r>
      <w:r w:rsidR="002A198F">
        <w:rPr>
          <w:rFonts w:eastAsia="Calibri"/>
          <w:lang w:eastAsia="en-US"/>
        </w:rPr>
        <w:t xml:space="preserve">. 124/14, 115/15, 87/16, 3/18, </w:t>
      </w:r>
      <w:r w:rsidRPr="006419B6">
        <w:rPr>
          <w:rFonts w:eastAsia="Calibri"/>
          <w:lang w:eastAsia="en-US"/>
        </w:rPr>
        <w:t>126/19</w:t>
      </w:r>
      <w:r w:rsidR="002A198F">
        <w:rPr>
          <w:rFonts w:eastAsia="Calibri"/>
          <w:lang w:eastAsia="en-US"/>
        </w:rPr>
        <w:t xml:space="preserve"> i 108/20</w:t>
      </w:r>
      <w:r w:rsidRPr="006419B6">
        <w:rPr>
          <w:rFonts w:eastAsia="Calibri"/>
          <w:lang w:eastAsia="en-US"/>
        </w:rPr>
        <w:t>), Pravilniku o financijskom izvještavanju u proračunskom računovodstvu (NN br. 3/15, 93/15, 135/15</w:t>
      </w:r>
      <w:r w:rsidR="007F4DA6">
        <w:rPr>
          <w:rFonts w:eastAsia="Calibri"/>
          <w:lang w:eastAsia="en-US"/>
        </w:rPr>
        <w:t xml:space="preserve">, 2/17, 28/17, 112/18, </w:t>
      </w:r>
      <w:r>
        <w:rPr>
          <w:rFonts w:eastAsia="Calibri"/>
          <w:lang w:eastAsia="en-US"/>
        </w:rPr>
        <w:t>126/19</w:t>
      </w:r>
      <w:r w:rsidR="00FC1412">
        <w:rPr>
          <w:rFonts w:eastAsia="Calibri"/>
          <w:lang w:eastAsia="en-US"/>
        </w:rPr>
        <w:t xml:space="preserve">, </w:t>
      </w:r>
      <w:r w:rsidR="007F4DA6">
        <w:rPr>
          <w:rFonts w:eastAsia="Calibri"/>
          <w:lang w:eastAsia="en-US"/>
        </w:rPr>
        <w:t>145/20</w:t>
      </w:r>
      <w:r w:rsidR="00FC1412">
        <w:rPr>
          <w:rFonts w:eastAsia="Calibri"/>
          <w:lang w:eastAsia="en-US"/>
        </w:rPr>
        <w:t xml:space="preserve"> i 32/21</w:t>
      </w:r>
      <w:r>
        <w:rPr>
          <w:rFonts w:eastAsia="Calibri"/>
          <w:lang w:eastAsia="en-US"/>
        </w:rPr>
        <w:t>)</w:t>
      </w:r>
      <w:r w:rsidR="00AD421E">
        <w:rPr>
          <w:rFonts w:eastAsia="Calibri"/>
          <w:lang w:eastAsia="en-US"/>
        </w:rPr>
        <w:t xml:space="preserve"> i</w:t>
      </w:r>
      <w:r w:rsidRPr="006419B6">
        <w:rPr>
          <w:rFonts w:eastAsia="Calibri"/>
          <w:lang w:eastAsia="en-US"/>
        </w:rPr>
        <w:t xml:space="preserve"> Okružnici Ministarstva financija o sastavljanju</w:t>
      </w:r>
      <w:r w:rsidR="006325C1">
        <w:rPr>
          <w:rFonts w:eastAsia="Calibri"/>
          <w:lang w:eastAsia="en-US"/>
        </w:rPr>
        <w:t>, konsolidaciji</w:t>
      </w:r>
      <w:r w:rsidRPr="006419B6">
        <w:rPr>
          <w:rFonts w:eastAsia="Calibri"/>
          <w:lang w:eastAsia="en-US"/>
        </w:rPr>
        <w:t xml:space="preserve"> i predaji financijskih izvještaja proračuna, proračunskih i izvanproračunskih korisnika državnog proračuna te proračunskih i izvanproračunskih korisnika proračuna jedinica lokalne i područne (regionalne) samouprave za razdoblje od 1. siječnja do 3</w:t>
      </w:r>
      <w:r w:rsidR="006325C1">
        <w:rPr>
          <w:rFonts w:eastAsia="Calibri"/>
          <w:lang w:eastAsia="en-US"/>
        </w:rPr>
        <w:t>1</w:t>
      </w:r>
      <w:r w:rsidRPr="006419B6">
        <w:rPr>
          <w:rFonts w:eastAsia="Calibri"/>
          <w:lang w:eastAsia="en-US"/>
        </w:rPr>
        <w:t xml:space="preserve">. </w:t>
      </w:r>
      <w:r w:rsidR="006325C1">
        <w:rPr>
          <w:rFonts w:eastAsia="Calibri"/>
          <w:lang w:eastAsia="en-US"/>
        </w:rPr>
        <w:t>prosinca</w:t>
      </w:r>
      <w:r w:rsidRPr="006419B6">
        <w:rPr>
          <w:rFonts w:eastAsia="Calibri"/>
          <w:lang w:eastAsia="en-US"/>
        </w:rPr>
        <w:t xml:space="preserve"> 202</w:t>
      </w:r>
      <w:r w:rsidR="001E6505">
        <w:rPr>
          <w:rFonts w:eastAsia="Calibri"/>
          <w:lang w:eastAsia="en-US"/>
        </w:rPr>
        <w:t>1</w:t>
      </w:r>
      <w:r w:rsidRPr="006419B6">
        <w:rPr>
          <w:rFonts w:eastAsia="Calibri"/>
          <w:lang w:eastAsia="en-US"/>
        </w:rPr>
        <w:t>., KLASA: 400-02/</w:t>
      </w:r>
      <w:r w:rsidR="001E6505">
        <w:rPr>
          <w:rFonts w:eastAsia="Calibri"/>
          <w:lang w:eastAsia="en-US"/>
        </w:rPr>
        <w:t>21-01/25, URBROJ: 513-05-03-21-5</w:t>
      </w:r>
      <w:r w:rsidRPr="006419B6">
        <w:rPr>
          <w:rFonts w:eastAsia="Calibri"/>
          <w:lang w:eastAsia="en-US"/>
        </w:rPr>
        <w:t xml:space="preserve"> od </w:t>
      </w:r>
      <w:r w:rsidR="001E6505">
        <w:rPr>
          <w:rFonts w:eastAsia="Calibri"/>
          <w:lang w:eastAsia="en-US"/>
        </w:rPr>
        <w:t>27</w:t>
      </w:r>
      <w:r w:rsidRPr="006419B6">
        <w:rPr>
          <w:rFonts w:eastAsia="Calibri"/>
          <w:lang w:eastAsia="en-US"/>
        </w:rPr>
        <w:t xml:space="preserve">. </w:t>
      </w:r>
      <w:r w:rsidR="006325C1">
        <w:rPr>
          <w:rFonts w:eastAsia="Calibri"/>
          <w:lang w:eastAsia="en-US"/>
        </w:rPr>
        <w:t>prosinca</w:t>
      </w:r>
      <w:r w:rsidRPr="006419B6">
        <w:rPr>
          <w:rFonts w:eastAsia="Calibri"/>
          <w:lang w:eastAsia="en-US"/>
        </w:rPr>
        <w:t xml:space="preserve"> 202</w:t>
      </w:r>
      <w:r w:rsidR="001E6505">
        <w:rPr>
          <w:rFonts w:eastAsia="Calibri"/>
          <w:lang w:eastAsia="en-US"/>
        </w:rPr>
        <w:t>1</w:t>
      </w:r>
      <w:r w:rsidRPr="006419B6">
        <w:rPr>
          <w:rFonts w:eastAsia="Calibri"/>
          <w:lang w:eastAsia="en-US"/>
        </w:rPr>
        <w:t>.</w:t>
      </w:r>
    </w:p>
    <w:p w14:paraId="538254ED" w14:textId="77777777" w:rsidR="00A65998" w:rsidRPr="006419B6" w:rsidRDefault="00A65998" w:rsidP="00A65998">
      <w:pPr>
        <w:suppressAutoHyphens/>
        <w:spacing w:after="160" w:line="259" w:lineRule="auto"/>
        <w:jc w:val="both"/>
        <w:rPr>
          <w:rFonts w:eastAsia="Calibri"/>
          <w:lang w:eastAsia="en-US"/>
        </w:rPr>
      </w:pPr>
    </w:p>
    <w:p w14:paraId="4A00DEA4" w14:textId="77777777" w:rsidR="00A65998" w:rsidRPr="006419B6" w:rsidRDefault="00A65998" w:rsidP="00A65998">
      <w:pPr>
        <w:numPr>
          <w:ilvl w:val="0"/>
          <w:numId w:val="11"/>
        </w:numPr>
        <w:suppressAutoHyphens/>
        <w:spacing w:after="160" w:line="259" w:lineRule="auto"/>
        <w:ind w:left="426" w:hanging="426"/>
        <w:contextualSpacing/>
        <w:rPr>
          <w:rFonts w:eastAsia="Calibri"/>
          <w:b/>
          <w:lang w:eastAsia="en-US"/>
        </w:rPr>
      </w:pPr>
      <w:r w:rsidRPr="006419B6">
        <w:rPr>
          <w:rFonts w:eastAsia="Calibri"/>
          <w:b/>
          <w:lang w:eastAsia="en-US"/>
        </w:rPr>
        <w:t xml:space="preserve">BILJEŠKE UZ IZVJEŠTAJ O PRIHODIMA I RASHODIMA, PRIMICIMA I </w:t>
      </w:r>
    </w:p>
    <w:p w14:paraId="6549EF1F" w14:textId="2803E762" w:rsidR="00A65998" w:rsidRPr="00CB1C16" w:rsidRDefault="00A65998" w:rsidP="00CB1C16">
      <w:pPr>
        <w:suppressAutoHyphens/>
        <w:spacing w:after="160" w:line="259" w:lineRule="auto"/>
        <w:ind w:left="426"/>
        <w:contextualSpacing/>
        <w:rPr>
          <w:rFonts w:eastAsia="Calibri"/>
          <w:lang w:eastAsia="en-US"/>
        </w:rPr>
      </w:pPr>
      <w:r w:rsidRPr="006419B6">
        <w:rPr>
          <w:rFonts w:eastAsia="Calibri"/>
          <w:b/>
          <w:lang w:eastAsia="en-US"/>
        </w:rPr>
        <w:t>IZDACIMA (OBRAZAC PR-RAS</w:t>
      </w:r>
      <w:r w:rsidRPr="006419B6">
        <w:rPr>
          <w:rFonts w:eastAsia="Calibri"/>
          <w:lang w:eastAsia="en-US"/>
        </w:rPr>
        <w:t>)</w:t>
      </w:r>
    </w:p>
    <w:p w14:paraId="60675C5D" w14:textId="77777777" w:rsidR="00A65998" w:rsidRPr="006419B6" w:rsidRDefault="00A65998" w:rsidP="00A65998">
      <w:pPr>
        <w:suppressAutoHyphens/>
        <w:spacing w:before="240" w:after="160" w:line="259" w:lineRule="auto"/>
        <w:contextualSpacing/>
        <w:jc w:val="center"/>
        <w:rPr>
          <w:rFonts w:eastAsia="Calibri"/>
          <w:lang w:eastAsia="en-US"/>
        </w:rPr>
      </w:pPr>
      <w:r w:rsidRPr="006419B6">
        <w:rPr>
          <w:rFonts w:eastAsia="Calibri"/>
          <w:lang w:eastAsia="en-US"/>
        </w:rPr>
        <w:t>Bilješka 1.</w:t>
      </w:r>
    </w:p>
    <w:p w14:paraId="784F4F65" w14:textId="13B3BED1" w:rsidR="00A65998" w:rsidRPr="006419B6" w:rsidRDefault="00A65998" w:rsidP="00A65998">
      <w:pPr>
        <w:suppressAutoHyphens/>
        <w:spacing w:before="240" w:after="160" w:line="259" w:lineRule="auto"/>
        <w:contextualSpacing/>
        <w:jc w:val="both"/>
        <w:rPr>
          <w:rFonts w:eastAsia="Calibri"/>
          <w:lang w:eastAsia="en-US"/>
        </w:rPr>
      </w:pPr>
      <w:r w:rsidRPr="006419B6">
        <w:rPr>
          <w:rFonts w:eastAsia="Calibri"/>
          <w:lang w:eastAsia="en-US"/>
        </w:rPr>
        <w:t>Izvještaj o prihodima i rashodima, primicima i izdacima sastavljen je za razdoblje od 1. siječnja do 3</w:t>
      </w:r>
      <w:r w:rsidR="007E000F">
        <w:rPr>
          <w:rFonts w:eastAsia="Calibri"/>
          <w:lang w:eastAsia="en-US"/>
        </w:rPr>
        <w:t>1</w:t>
      </w:r>
      <w:r w:rsidRPr="006419B6">
        <w:rPr>
          <w:rFonts w:eastAsia="Calibri"/>
          <w:lang w:eastAsia="en-US"/>
        </w:rPr>
        <w:t xml:space="preserve">. </w:t>
      </w:r>
      <w:r w:rsidR="007E000F">
        <w:rPr>
          <w:rFonts w:eastAsia="Calibri"/>
          <w:lang w:eastAsia="en-US"/>
        </w:rPr>
        <w:t>prosinca</w:t>
      </w:r>
      <w:r w:rsidRPr="006419B6">
        <w:rPr>
          <w:rFonts w:eastAsia="Calibri"/>
          <w:lang w:eastAsia="en-US"/>
        </w:rPr>
        <w:t xml:space="preserve"> 202</w:t>
      </w:r>
      <w:r w:rsidR="00437521">
        <w:rPr>
          <w:rFonts w:eastAsia="Calibri"/>
          <w:lang w:eastAsia="en-US"/>
        </w:rPr>
        <w:t>1</w:t>
      </w:r>
      <w:r w:rsidRPr="006419B6">
        <w:rPr>
          <w:rFonts w:eastAsia="Calibri"/>
          <w:lang w:eastAsia="en-US"/>
        </w:rPr>
        <w:t xml:space="preserve">. i uključuje prihode i </w:t>
      </w:r>
      <w:r w:rsidR="00E97FD9" w:rsidRPr="006419B6">
        <w:rPr>
          <w:rFonts w:eastAsia="Calibri"/>
          <w:lang w:eastAsia="en-US"/>
        </w:rPr>
        <w:t>rashode HAKOM-a</w:t>
      </w:r>
      <w:r w:rsidR="00E97FD9">
        <w:rPr>
          <w:rFonts w:eastAsia="Calibri"/>
          <w:lang w:eastAsia="en-US"/>
        </w:rPr>
        <w:t>.</w:t>
      </w:r>
      <w:r w:rsidR="00E97FD9" w:rsidRPr="006419B6">
        <w:rPr>
          <w:rFonts w:eastAsia="Calibri"/>
          <w:lang w:eastAsia="en-US"/>
        </w:rPr>
        <w:t xml:space="preserve"> </w:t>
      </w:r>
      <w:r w:rsidR="00E97FD9">
        <w:rPr>
          <w:rFonts w:eastAsia="Calibri"/>
          <w:lang w:eastAsia="en-US"/>
        </w:rPr>
        <w:t>Primici</w:t>
      </w:r>
      <w:r w:rsidRPr="006419B6">
        <w:rPr>
          <w:rFonts w:eastAsia="Calibri"/>
          <w:lang w:eastAsia="en-US"/>
        </w:rPr>
        <w:t xml:space="preserve"> </w:t>
      </w:r>
      <w:r w:rsidR="00E97FD9">
        <w:rPr>
          <w:rFonts w:eastAsia="Calibri"/>
          <w:lang w:eastAsia="en-US"/>
        </w:rPr>
        <w:t xml:space="preserve">i izdaci nisu </w:t>
      </w:r>
      <w:r w:rsidR="00DB5CBF">
        <w:rPr>
          <w:rFonts w:eastAsia="Calibri"/>
          <w:lang w:eastAsia="en-US"/>
        </w:rPr>
        <w:t>evidentirani</w:t>
      </w:r>
      <w:r w:rsidRPr="006419B6">
        <w:rPr>
          <w:rFonts w:eastAsia="Calibri"/>
          <w:lang w:eastAsia="en-US"/>
        </w:rPr>
        <w:t xml:space="preserve">. </w:t>
      </w:r>
    </w:p>
    <w:p w14:paraId="15A5E050" w14:textId="77777777" w:rsidR="00A65998" w:rsidRPr="006419B6" w:rsidRDefault="00A65998" w:rsidP="00A65998">
      <w:pPr>
        <w:suppressAutoHyphens/>
        <w:spacing w:before="240" w:after="160" w:line="259" w:lineRule="auto"/>
        <w:contextualSpacing/>
        <w:jc w:val="both"/>
        <w:rPr>
          <w:rFonts w:eastAsia="Calibri"/>
          <w:lang w:eastAsia="en-US"/>
        </w:rPr>
      </w:pPr>
      <w:r w:rsidRPr="006419B6">
        <w:rPr>
          <w:rFonts w:eastAsia="Calibri"/>
          <w:lang w:eastAsia="en-US"/>
        </w:rPr>
        <w:t>Podaci za popunjavanje financijskih izvještaja dobivaju se iz Glavne knjige koju informatički podržava Navision sustav. Poslovanje HAKOM-a obavlja se preko žiro-računa u Hrvatskoj poštanskoj banci d.d. broj: HR7423900011100320173 za kunsko i devizno poslovanje.</w:t>
      </w:r>
    </w:p>
    <w:p w14:paraId="179B120A" w14:textId="77777777" w:rsidR="00A65998" w:rsidRPr="006419B6" w:rsidRDefault="00A65998" w:rsidP="00A65998">
      <w:pPr>
        <w:suppressAutoHyphens/>
        <w:spacing w:before="240" w:after="160" w:line="259" w:lineRule="auto"/>
        <w:contextualSpacing/>
        <w:jc w:val="both"/>
        <w:rPr>
          <w:rFonts w:eastAsia="Calibri"/>
          <w:lang w:eastAsia="en-US"/>
        </w:rPr>
      </w:pPr>
    </w:p>
    <w:p w14:paraId="330FCD38" w14:textId="77777777" w:rsidR="00A65998" w:rsidRPr="006419B6" w:rsidRDefault="00A65998" w:rsidP="00A65998">
      <w:pPr>
        <w:suppressAutoHyphens/>
        <w:spacing w:before="240" w:after="160" w:line="259" w:lineRule="auto"/>
        <w:contextualSpacing/>
        <w:jc w:val="center"/>
        <w:rPr>
          <w:rFonts w:eastAsia="Calibri"/>
          <w:lang w:eastAsia="en-US"/>
        </w:rPr>
      </w:pPr>
      <w:r w:rsidRPr="006419B6">
        <w:rPr>
          <w:rFonts w:eastAsia="Calibri"/>
          <w:lang w:eastAsia="en-US"/>
        </w:rPr>
        <w:t>Bilješka 2.</w:t>
      </w:r>
    </w:p>
    <w:p w14:paraId="0040B10B" w14:textId="77777777" w:rsidR="00A65998" w:rsidRPr="006419B6" w:rsidRDefault="00A65998" w:rsidP="00A65998">
      <w:pPr>
        <w:suppressAutoHyphens/>
        <w:spacing w:before="240" w:after="160" w:line="259" w:lineRule="auto"/>
        <w:contextualSpacing/>
        <w:jc w:val="both"/>
        <w:rPr>
          <w:rFonts w:eastAsia="Calibri"/>
          <w:lang w:eastAsia="en-US"/>
        </w:rPr>
      </w:pPr>
      <w:r w:rsidRPr="006419B6">
        <w:rPr>
          <w:rFonts w:eastAsia="Calibri"/>
          <w:lang w:eastAsia="en-US"/>
        </w:rPr>
        <w:t>U obrascu PR-RAS iskazani su u kunama:</w:t>
      </w:r>
    </w:p>
    <w:tbl>
      <w:tblPr>
        <w:tblW w:w="9243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7258"/>
        <w:gridCol w:w="1985"/>
      </w:tblGrid>
      <w:tr w:rsidR="00A65998" w:rsidRPr="006419B6" w14:paraId="07D8E548" w14:textId="77777777" w:rsidTr="00AA61AC">
        <w:trPr>
          <w:trHeight w:val="340"/>
        </w:trPr>
        <w:tc>
          <w:tcPr>
            <w:tcW w:w="7258" w:type="dxa"/>
            <w:shd w:val="clear" w:color="auto" w:fill="auto"/>
            <w:vAlign w:val="center"/>
          </w:tcPr>
          <w:p w14:paraId="4CD4A25A" w14:textId="77777777" w:rsidR="00A65998" w:rsidRPr="006419B6" w:rsidRDefault="00A65998" w:rsidP="00A65998">
            <w:pPr>
              <w:numPr>
                <w:ilvl w:val="0"/>
                <w:numId w:val="12"/>
              </w:numPr>
              <w:ind w:left="459"/>
              <w:rPr>
                <w:szCs w:val="20"/>
              </w:rPr>
            </w:pPr>
            <w:bookmarkStart w:id="0" w:name="_Hlk382850900"/>
            <w:r w:rsidRPr="006419B6">
              <w:rPr>
                <w:szCs w:val="20"/>
              </w:rPr>
              <w:t>ukupni prihodi poslovanja (AOP 001)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6528BF" w14:textId="7C6FBFC2" w:rsidR="00A65998" w:rsidRPr="006419B6" w:rsidRDefault="001013CC" w:rsidP="00AA61AC">
            <w:pPr>
              <w:jc w:val="right"/>
              <w:rPr>
                <w:szCs w:val="20"/>
              </w:rPr>
            </w:pPr>
            <w:r w:rsidRPr="001013CC">
              <w:rPr>
                <w:rFonts w:eastAsia="Calibri"/>
                <w:szCs w:val="20"/>
                <w:lang w:eastAsia="en-US"/>
              </w:rPr>
              <w:t>100.271.189</w:t>
            </w:r>
          </w:p>
        </w:tc>
      </w:tr>
      <w:tr w:rsidR="00A65998" w:rsidRPr="006419B6" w14:paraId="72FCB619" w14:textId="77777777" w:rsidTr="00AA61AC">
        <w:trPr>
          <w:trHeight w:val="340"/>
        </w:trPr>
        <w:tc>
          <w:tcPr>
            <w:tcW w:w="7258" w:type="dxa"/>
            <w:shd w:val="clear" w:color="auto" w:fill="auto"/>
            <w:vAlign w:val="center"/>
          </w:tcPr>
          <w:p w14:paraId="26E0AFFC" w14:textId="6A4923A5" w:rsidR="00A65998" w:rsidRPr="006419B6" w:rsidRDefault="00A65998" w:rsidP="001013CC">
            <w:pPr>
              <w:numPr>
                <w:ilvl w:val="0"/>
                <w:numId w:val="12"/>
              </w:numPr>
              <w:ind w:left="459"/>
              <w:rPr>
                <w:szCs w:val="20"/>
              </w:rPr>
            </w:pPr>
            <w:r w:rsidRPr="006419B6">
              <w:rPr>
                <w:szCs w:val="20"/>
              </w:rPr>
              <w:t>ukupni rashodi poslovanja (AOP 14</w:t>
            </w:r>
            <w:r w:rsidR="001013CC">
              <w:rPr>
                <w:szCs w:val="20"/>
              </w:rPr>
              <w:t>6</w:t>
            </w:r>
            <w:r w:rsidRPr="006419B6">
              <w:rPr>
                <w:szCs w:val="20"/>
              </w:rPr>
              <w:t xml:space="preserve">)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4CC0C33" w14:textId="7A2B73B9" w:rsidR="00A65998" w:rsidRPr="006419B6" w:rsidRDefault="001013CC" w:rsidP="00AA61AC">
            <w:pPr>
              <w:jc w:val="right"/>
              <w:rPr>
                <w:szCs w:val="20"/>
              </w:rPr>
            </w:pPr>
            <w:r w:rsidRPr="001013CC">
              <w:rPr>
                <w:szCs w:val="20"/>
              </w:rPr>
              <w:t>78.059.247</w:t>
            </w:r>
          </w:p>
        </w:tc>
      </w:tr>
      <w:tr w:rsidR="00A65998" w:rsidRPr="006419B6" w14:paraId="46EF0D0A" w14:textId="77777777" w:rsidTr="00AA61AC">
        <w:trPr>
          <w:trHeight w:val="340"/>
        </w:trPr>
        <w:tc>
          <w:tcPr>
            <w:tcW w:w="7258" w:type="dxa"/>
            <w:shd w:val="clear" w:color="auto" w:fill="auto"/>
            <w:vAlign w:val="center"/>
          </w:tcPr>
          <w:p w14:paraId="63E2D86A" w14:textId="3A884B65" w:rsidR="00A65998" w:rsidRPr="006419B6" w:rsidRDefault="001013CC" w:rsidP="001013CC">
            <w:pPr>
              <w:ind w:firstLine="1026"/>
              <w:rPr>
                <w:b/>
                <w:bCs/>
                <w:i/>
                <w:iCs/>
                <w:szCs w:val="20"/>
              </w:rPr>
            </w:pPr>
            <w:r>
              <w:rPr>
                <w:b/>
                <w:bCs/>
                <w:i/>
                <w:iCs/>
                <w:szCs w:val="20"/>
              </w:rPr>
              <w:t>višak</w:t>
            </w:r>
            <w:r w:rsidR="00A65998" w:rsidRPr="006419B6">
              <w:rPr>
                <w:b/>
                <w:bCs/>
                <w:i/>
                <w:iCs/>
                <w:szCs w:val="20"/>
              </w:rPr>
              <w:t xml:space="preserve"> prihoda poslovanja (AOP 28</w:t>
            </w:r>
            <w:r>
              <w:rPr>
                <w:b/>
                <w:bCs/>
                <w:i/>
                <w:iCs/>
                <w:szCs w:val="20"/>
              </w:rPr>
              <w:t>5</w:t>
            </w:r>
            <w:r w:rsidR="00A65998" w:rsidRPr="006419B6">
              <w:rPr>
                <w:b/>
                <w:bCs/>
                <w:i/>
                <w:iCs/>
                <w:szCs w:val="20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09533C0" w14:textId="7346D5C0" w:rsidR="00A65998" w:rsidRPr="006419B6" w:rsidRDefault="001013CC" w:rsidP="00AA61AC">
            <w:pPr>
              <w:jc w:val="right"/>
              <w:rPr>
                <w:b/>
                <w:bCs/>
                <w:i/>
                <w:iCs/>
                <w:szCs w:val="20"/>
              </w:rPr>
            </w:pPr>
            <w:r w:rsidRPr="001013CC">
              <w:rPr>
                <w:b/>
                <w:bCs/>
                <w:i/>
                <w:iCs/>
                <w:szCs w:val="20"/>
              </w:rPr>
              <w:t>22.211.942</w:t>
            </w:r>
          </w:p>
        </w:tc>
      </w:tr>
      <w:tr w:rsidR="00A65998" w:rsidRPr="006419B6" w14:paraId="0CCD1F69" w14:textId="77777777" w:rsidTr="00AA61AC">
        <w:trPr>
          <w:trHeight w:val="340"/>
        </w:trPr>
        <w:tc>
          <w:tcPr>
            <w:tcW w:w="7258" w:type="dxa"/>
            <w:shd w:val="clear" w:color="auto" w:fill="auto"/>
            <w:vAlign w:val="center"/>
          </w:tcPr>
          <w:p w14:paraId="5BD40CA0" w14:textId="65D06C81" w:rsidR="00A65998" w:rsidRPr="006419B6" w:rsidRDefault="00A65998" w:rsidP="001013CC">
            <w:pPr>
              <w:numPr>
                <w:ilvl w:val="0"/>
                <w:numId w:val="12"/>
              </w:numPr>
              <w:ind w:left="459"/>
              <w:rPr>
                <w:szCs w:val="20"/>
              </w:rPr>
            </w:pPr>
            <w:r w:rsidRPr="006419B6">
              <w:rPr>
                <w:szCs w:val="20"/>
              </w:rPr>
              <w:t>ukupni prihodi od prodaje nefinancijske imovine (AOP 29</w:t>
            </w:r>
            <w:r w:rsidR="001013CC">
              <w:rPr>
                <w:szCs w:val="20"/>
              </w:rPr>
              <w:t>2</w:t>
            </w:r>
            <w:r w:rsidRPr="006419B6">
              <w:rPr>
                <w:szCs w:val="20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0F547B7" w14:textId="025F036F" w:rsidR="00A65998" w:rsidRPr="006419B6" w:rsidRDefault="001013CC" w:rsidP="00AA61AC">
            <w:pPr>
              <w:jc w:val="right"/>
              <w:rPr>
                <w:szCs w:val="20"/>
              </w:rPr>
            </w:pPr>
            <w:r w:rsidRPr="001013CC">
              <w:rPr>
                <w:rFonts w:eastAsia="Calibri"/>
                <w:szCs w:val="20"/>
                <w:lang w:eastAsia="en-US"/>
              </w:rPr>
              <w:t>76.000</w:t>
            </w:r>
          </w:p>
        </w:tc>
      </w:tr>
      <w:tr w:rsidR="00A65998" w:rsidRPr="006419B6" w14:paraId="449DF236" w14:textId="77777777" w:rsidTr="00AA61AC">
        <w:trPr>
          <w:trHeight w:val="340"/>
        </w:trPr>
        <w:tc>
          <w:tcPr>
            <w:tcW w:w="7258" w:type="dxa"/>
            <w:shd w:val="clear" w:color="auto" w:fill="auto"/>
            <w:vAlign w:val="center"/>
          </w:tcPr>
          <w:p w14:paraId="343AB039" w14:textId="0CEE9569" w:rsidR="00A65998" w:rsidRPr="006419B6" w:rsidRDefault="00A65998" w:rsidP="00A65998">
            <w:pPr>
              <w:numPr>
                <w:ilvl w:val="0"/>
                <w:numId w:val="12"/>
              </w:numPr>
              <w:ind w:left="459"/>
              <w:rPr>
                <w:szCs w:val="20"/>
              </w:rPr>
            </w:pPr>
            <w:r w:rsidRPr="006419B6">
              <w:rPr>
                <w:szCs w:val="20"/>
              </w:rPr>
              <w:t xml:space="preserve">ukupni rashodi za nabavu nefinancijske </w:t>
            </w:r>
            <w:r w:rsidR="001013CC">
              <w:rPr>
                <w:szCs w:val="20"/>
              </w:rPr>
              <w:t>imovine (AOP 344</w:t>
            </w:r>
            <w:r w:rsidRPr="006419B6">
              <w:rPr>
                <w:szCs w:val="20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A875392" w14:textId="6AD0DD3B" w:rsidR="00A65998" w:rsidRPr="006419B6" w:rsidRDefault="001013CC" w:rsidP="00AA61AC">
            <w:pPr>
              <w:jc w:val="right"/>
              <w:rPr>
                <w:szCs w:val="20"/>
              </w:rPr>
            </w:pPr>
            <w:r w:rsidRPr="001013CC">
              <w:rPr>
                <w:szCs w:val="20"/>
              </w:rPr>
              <w:t>7.019.654</w:t>
            </w:r>
          </w:p>
        </w:tc>
      </w:tr>
      <w:tr w:rsidR="00A65998" w:rsidRPr="006419B6" w14:paraId="0D29B947" w14:textId="77777777" w:rsidTr="00AA61AC">
        <w:trPr>
          <w:trHeight w:val="340"/>
        </w:trPr>
        <w:tc>
          <w:tcPr>
            <w:tcW w:w="7258" w:type="dxa"/>
            <w:shd w:val="clear" w:color="auto" w:fill="auto"/>
            <w:vAlign w:val="center"/>
          </w:tcPr>
          <w:p w14:paraId="7A61EA37" w14:textId="1F0EB9A0" w:rsidR="00A65998" w:rsidRPr="006419B6" w:rsidRDefault="00A65998" w:rsidP="00AA61AC">
            <w:pPr>
              <w:ind w:firstLine="1026"/>
              <w:rPr>
                <w:b/>
                <w:bCs/>
                <w:i/>
                <w:iCs/>
                <w:szCs w:val="20"/>
              </w:rPr>
            </w:pPr>
            <w:r w:rsidRPr="006419B6">
              <w:rPr>
                <w:b/>
                <w:bCs/>
                <w:i/>
                <w:iCs/>
                <w:szCs w:val="20"/>
              </w:rPr>
              <w:t>manjak prihoda o</w:t>
            </w:r>
            <w:r w:rsidR="001013CC">
              <w:rPr>
                <w:b/>
                <w:bCs/>
                <w:i/>
                <w:iCs/>
                <w:szCs w:val="20"/>
              </w:rPr>
              <w:t>d nefinancijske imovine (AOP 402</w:t>
            </w:r>
            <w:r w:rsidRPr="006419B6">
              <w:rPr>
                <w:b/>
                <w:bCs/>
                <w:i/>
                <w:iCs/>
                <w:szCs w:val="20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632FB4" w14:textId="362C5167" w:rsidR="00A65998" w:rsidRPr="006419B6" w:rsidRDefault="001013CC" w:rsidP="00AA61AC">
            <w:pPr>
              <w:jc w:val="right"/>
              <w:rPr>
                <w:b/>
                <w:bCs/>
                <w:i/>
                <w:iCs/>
                <w:szCs w:val="20"/>
              </w:rPr>
            </w:pPr>
            <w:r w:rsidRPr="001013CC">
              <w:rPr>
                <w:b/>
                <w:bCs/>
                <w:i/>
                <w:iCs/>
                <w:szCs w:val="20"/>
              </w:rPr>
              <w:t>6.943.654</w:t>
            </w:r>
          </w:p>
        </w:tc>
      </w:tr>
      <w:tr w:rsidR="00A65998" w:rsidRPr="006419B6" w14:paraId="1FA1D918" w14:textId="77777777" w:rsidTr="00AA61AC">
        <w:trPr>
          <w:trHeight w:val="340"/>
        </w:trPr>
        <w:tc>
          <w:tcPr>
            <w:tcW w:w="7258" w:type="dxa"/>
            <w:shd w:val="clear" w:color="auto" w:fill="auto"/>
            <w:vAlign w:val="center"/>
          </w:tcPr>
          <w:p w14:paraId="14B584B4" w14:textId="1F288DF3" w:rsidR="00A65998" w:rsidRPr="006419B6" w:rsidRDefault="001013CC" w:rsidP="001013CC">
            <w:pPr>
              <w:rPr>
                <w:b/>
                <w:bCs/>
                <w:i/>
                <w:iCs/>
                <w:szCs w:val="20"/>
              </w:rPr>
            </w:pPr>
            <w:r>
              <w:rPr>
                <w:b/>
                <w:bCs/>
                <w:i/>
                <w:iCs/>
                <w:szCs w:val="20"/>
              </w:rPr>
              <w:t>višak</w:t>
            </w:r>
            <w:r w:rsidR="00A65998" w:rsidRPr="006419B6">
              <w:rPr>
                <w:b/>
                <w:bCs/>
                <w:i/>
                <w:iCs/>
                <w:szCs w:val="20"/>
              </w:rPr>
              <w:t xml:space="preserve"> prihoda i primitaka u promatranom razdoblju (AOP 63</w:t>
            </w:r>
            <w:r>
              <w:rPr>
                <w:b/>
                <w:bCs/>
                <w:i/>
                <w:iCs/>
                <w:szCs w:val="20"/>
              </w:rPr>
              <w:t>4</w:t>
            </w:r>
            <w:r w:rsidR="00A65998" w:rsidRPr="006419B6">
              <w:rPr>
                <w:b/>
                <w:bCs/>
                <w:i/>
                <w:iCs/>
                <w:szCs w:val="20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B0B1CE" w14:textId="73DB35D1" w:rsidR="00A65998" w:rsidRPr="006419B6" w:rsidRDefault="001013CC" w:rsidP="00AA61AC">
            <w:pPr>
              <w:jc w:val="right"/>
              <w:rPr>
                <w:b/>
                <w:bCs/>
                <w:i/>
                <w:iCs/>
                <w:szCs w:val="20"/>
              </w:rPr>
            </w:pPr>
            <w:r w:rsidRPr="001013CC">
              <w:rPr>
                <w:b/>
                <w:bCs/>
                <w:i/>
                <w:iCs/>
                <w:szCs w:val="20"/>
              </w:rPr>
              <w:t>15.268.288</w:t>
            </w:r>
          </w:p>
        </w:tc>
      </w:tr>
      <w:tr w:rsidR="00A65998" w:rsidRPr="006419B6" w14:paraId="27FF1756" w14:textId="77777777" w:rsidTr="00AA61AC">
        <w:trPr>
          <w:trHeight w:val="340"/>
        </w:trPr>
        <w:tc>
          <w:tcPr>
            <w:tcW w:w="7258" w:type="dxa"/>
            <w:shd w:val="clear" w:color="auto" w:fill="auto"/>
            <w:vAlign w:val="center"/>
          </w:tcPr>
          <w:p w14:paraId="1F123C79" w14:textId="61D4498C" w:rsidR="00A65998" w:rsidRPr="006419B6" w:rsidRDefault="00A65998" w:rsidP="001013CC">
            <w:pPr>
              <w:rPr>
                <w:bCs/>
                <w:i/>
                <w:iCs/>
                <w:szCs w:val="20"/>
              </w:rPr>
            </w:pPr>
            <w:r w:rsidRPr="006419B6">
              <w:rPr>
                <w:bCs/>
                <w:i/>
                <w:iCs/>
                <w:szCs w:val="20"/>
              </w:rPr>
              <w:t>višak prihoda i primitaka – preneseni (AOP 63</w:t>
            </w:r>
            <w:r w:rsidR="001013CC">
              <w:rPr>
                <w:bCs/>
                <w:i/>
                <w:iCs/>
                <w:szCs w:val="20"/>
              </w:rPr>
              <w:t>6</w:t>
            </w:r>
            <w:r w:rsidRPr="006419B6">
              <w:rPr>
                <w:bCs/>
                <w:i/>
                <w:iCs/>
                <w:szCs w:val="20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9A69DC4" w14:textId="26CF46ED" w:rsidR="00A65998" w:rsidRPr="006419B6" w:rsidRDefault="001013CC" w:rsidP="00AA61AC">
            <w:pPr>
              <w:jc w:val="right"/>
              <w:rPr>
                <w:bCs/>
                <w:i/>
                <w:iCs/>
                <w:szCs w:val="20"/>
              </w:rPr>
            </w:pPr>
            <w:r w:rsidRPr="001013CC">
              <w:rPr>
                <w:bCs/>
                <w:i/>
                <w:iCs/>
                <w:szCs w:val="20"/>
              </w:rPr>
              <w:t>29.050.918</w:t>
            </w:r>
          </w:p>
        </w:tc>
      </w:tr>
      <w:tr w:rsidR="00A65998" w:rsidRPr="006419B6" w14:paraId="24E88A3E" w14:textId="77777777" w:rsidTr="00AA61AC">
        <w:trPr>
          <w:trHeight w:val="340"/>
        </w:trPr>
        <w:tc>
          <w:tcPr>
            <w:tcW w:w="7258" w:type="dxa"/>
            <w:shd w:val="clear" w:color="auto" w:fill="auto"/>
            <w:vAlign w:val="center"/>
          </w:tcPr>
          <w:p w14:paraId="002EFB63" w14:textId="5DC10420" w:rsidR="00A65998" w:rsidRPr="006419B6" w:rsidRDefault="00A65998" w:rsidP="00AA61AC">
            <w:pPr>
              <w:rPr>
                <w:b/>
                <w:bCs/>
                <w:i/>
                <w:iCs/>
                <w:szCs w:val="20"/>
              </w:rPr>
            </w:pPr>
            <w:r w:rsidRPr="006419B6">
              <w:rPr>
                <w:b/>
                <w:bCs/>
                <w:i/>
                <w:iCs/>
                <w:szCs w:val="20"/>
              </w:rPr>
              <w:t>višak prihoda i primitaka raspoloži</w:t>
            </w:r>
            <w:r w:rsidR="001013CC">
              <w:rPr>
                <w:b/>
                <w:bCs/>
                <w:i/>
                <w:iCs/>
                <w:szCs w:val="20"/>
              </w:rPr>
              <w:t>v u sljedećem razdoblju (AOP 638</w:t>
            </w:r>
            <w:r w:rsidRPr="006419B6">
              <w:rPr>
                <w:b/>
                <w:bCs/>
                <w:i/>
                <w:iCs/>
                <w:szCs w:val="20"/>
              </w:rPr>
              <w:t>)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56EC0D6" w14:textId="7BE99730" w:rsidR="00A65998" w:rsidRPr="006419B6" w:rsidRDefault="001013CC" w:rsidP="00AA61AC">
            <w:pPr>
              <w:jc w:val="right"/>
              <w:rPr>
                <w:b/>
                <w:bCs/>
                <w:i/>
                <w:iCs/>
                <w:szCs w:val="20"/>
              </w:rPr>
            </w:pPr>
            <w:r w:rsidRPr="001013CC">
              <w:rPr>
                <w:b/>
                <w:bCs/>
                <w:i/>
                <w:iCs/>
                <w:szCs w:val="20"/>
              </w:rPr>
              <w:t>44.319.206</w:t>
            </w:r>
          </w:p>
        </w:tc>
      </w:tr>
    </w:tbl>
    <w:bookmarkEnd w:id="0"/>
    <w:p w14:paraId="080C2CBE" w14:textId="04B41011" w:rsidR="00A65998" w:rsidRPr="006419B6" w:rsidRDefault="00A65998" w:rsidP="007938FD">
      <w:pPr>
        <w:keepNext/>
        <w:jc w:val="both"/>
      </w:pPr>
      <w:r w:rsidRPr="006419B6">
        <w:lastRenderedPageBreak/>
        <w:t>U razdoblju od 1. siječnja do 3</w:t>
      </w:r>
      <w:r w:rsidR="00F336CD">
        <w:t>1</w:t>
      </w:r>
      <w:r w:rsidRPr="006419B6">
        <w:t xml:space="preserve">. </w:t>
      </w:r>
      <w:r w:rsidR="00F336CD">
        <w:t>prosinca</w:t>
      </w:r>
      <w:r w:rsidRPr="006419B6">
        <w:t xml:space="preserve"> 202</w:t>
      </w:r>
      <w:r w:rsidR="00E5234B">
        <w:t>1</w:t>
      </w:r>
      <w:r w:rsidRPr="006419B6">
        <w:t xml:space="preserve">. prihodi poslovanja su ostvareni u iznosu od </w:t>
      </w:r>
      <w:r w:rsidR="00E5234B" w:rsidRPr="00E5234B">
        <w:t>100.271.189</w:t>
      </w:r>
      <w:r w:rsidRPr="006419B6">
        <w:t xml:space="preserve"> kn, odnosno </w:t>
      </w:r>
      <w:r w:rsidR="00E5234B">
        <w:t>16</w:t>
      </w:r>
      <w:r w:rsidR="00421418">
        <w:t>,8</w:t>
      </w:r>
      <w:r w:rsidRPr="006419B6">
        <w:t xml:space="preserve">% </w:t>
      </w:r>
      <w:r w:rsidR="00E5234B">
        <w:t>više</w:t>
      </w:r>
      <w:r w:rsidRPr="006419B6">
        <w:t xml:space="preserve"> nego u istom razdoblju prethodne godine. </w:t>
      </w:r>
      <w:r w:rsidR="00E5234B">
        <w:t>Povećanje</w:t>
      </w:r>
      <w:r w:rsidRPr="006419B6">
        <w:t xml:space="preserve"> ukupnih prihoda poslovanja proizašlo je najvećim dijelom iz </w:t>
      </w:r>
      <w:r w:rsidR="00275490">
        <w:t>povećanja</w:t>
      </w:r>
      <w:r w:rsidRPr="003A45B0">
        <w:t xml:space="preserve"> prihoda po posebnim propisima</w:t>
      </w:r>
      <w:r w:rsidR="00CF57A4">
        <w:t xml:space="preserve"> uslijed </w:t>
      </w:r>
      <w:r w:rsidR="00EF45B8">
        <w:t>naplate</w:t>
      </w:r>
      <w:r w:rsidR="00307314">
        <w:t xml:space="preserve"> naknada </w:t>
      </w:r>
      <w:r w:rsidR="007124D3" w:rsidRPr="007124D3">
        <w:t xml:space="preserve">za uporabu </w:t>
      </w:r>
      <w:r w:rsidR="00F856EB">
        <w:t>radiofrekvencijskog (</w:t>
      </w:r>
      <w:r w:rsidR="007124D3" w:rsidRPr="007124D3">
        <w:t>RF</w:t>
      </w:r>
      <w:r w:rsidR="00F856EB">
        <w:t>)</w:t>
      </w:r>
      <w:r w:rsidR="007124D3" w:rsidRPr="007124D3">
        <w:t xml:space="preserve"> spektra za mreže pokretnih komunikacija pete generacije (5G) </w:t>
      </w:r>
      <w:r w:rsidR="00307314">
        <w:t xml:space="preserve">pri čemu su dozvole izdane </w:t>
      </w:r>
      <w:r w:rsidR="007124D3" w:rsidRPr="007124D3">
        <w:t>nakon p</w:t>
      </w:r>
      <w:r w:rsidR="007124D3">
        <w:t>rovedenog postupka javne dražbe</w:t>
      </w:r>
      <w:r w:rsidRPr="003A45B0">
        <w:t>.</w:t>
      </w:r>
      <w:r w:rsidRPr="006419B6">
        <w:t xml:space="preserve"> </w:t>
      </w:r>
    </w:p>
    <w:p w14:paraId="561D1BAF" w14:textId="16A70D23" w:rsidR="00A65998" w:rsidRPr="006419B6" w:rsidRDefault="00A65998" w:rsidP="007938FD">
      <w:pPr>
        <w:keepNext/>
        <w:jc w:val="both"/>
      </w:pPr>
      <w:r w:rsidRPr="006419B6">
        <w:t xml:space="preserve">Rashodi poslovanja ostvareni su u iznosu od </w:t>
      </w:r>
      <w:r w:rsidR="00A13B22" w:rsidRPr="00A13B22">
        <w:t>78.059.247</w:t>
      </w:r>
      <w:r w:rsidR="00A13B22">
        <w:t xml:space="preserve"> </w:t>
      </w:r>
      <w:r w:rsidRPr="006419B6">
        <w:t xml:space="preserve">kn, odnosno za </w:t>
      </w:r>
      <w:r w:rsidR="00A13B22">
        <w:t>19,3</w:t>
      </w:r>
      <w:r w:rsidRPr="006419B6">
        <w:t xml:space="preserve">% </w:t>
      </w:r>
      <w:r w:rsidR="00E858A7">
        <w:t xml:space="preserve">su </w:t>
      </w:r>
      <w:r w:rsidR="00A13B22">
        <w:t>manji</w:t>
      </w:r>
      <w:r w:rsidRPr="006419B6">
        <w:t xml:space="preserve"> nego u promatranom razdoblju prethodne godine</w:t>
      </w:r>
      <w:r w:rsidR="006614EA">
        <w:t>.</w:t>
      </w:r>
      <w:r w:rsidR="00A13B22">
        <w:t xml:space="preserve"> </w:t>
      </w:r>
      <w:r w:rsidR="006614EA">
        <w:t>Naime,</w:t>
      </w:r>
      <w:r w:rsidR="00A13B22">
        <w:t xml:space="preserve"> u 2020. </w:t>
      </w:r>
      <w:r w:rsidR="006614EA">
        <w:t xml:space="preserve">su </w:t>
      </w:r>
      <w:r w:rsidR="00A13B22">
        <w:t xml:space="preserve">evidentirani </w:t>
      </w:r>
      <w:r w:rsidR="001049AA">
        <w:t>značajni</w:t>
      </w:r>
      <w:r w:rsidR="00A13B22">
        <w:t xml:space="preserve"> troškovi</w:t>
      </w:r>
      <w:r w:rsidRPr="006419B6">
        <w:t xml:space="preserve"> sudskih postupa</w:t>
      </w:r>
      <w:r w:rsidR="00A13B22">
        <w:t>ka (21,5 mil. kn) koji su u 2021. neznatni (4.370 kn).</w:t>
      </w:r>
      <w:r w:rsidR="001E470D">
        <w:t xml:space="preserve"> Isto tako, smanjene su i naknade troškova za</w:t>
      </w:r>
      <w:r w:rsidR="002C5F16">
        <w:t xml:space="preserve">poslenima, </w:t>
      </w:r>
      <w:r w:rsidR="00661E77">
        <w:t>troškovi uredskog materijala i ostali materijalni rashodi, rashodi</w:t>
      </w:r>
      <w:r w:rsidR="00661E77" w:rsidRPr="00661E77">
        <w:t xml:space="preserve"> za usluge telefona, pošte i prijevoza, za usluge tekućeg i investicijskog održavanja, za usluge p</w:t>
      </w:r>
      <w:r w:rsidR="00661E77">
        <w:t>romidžbe i informiranja, premije</w:t>
      </w:r>
      <w:r w:rsidR="00661E77" w:rsidRPr="00661E77">
        <w:t xml:space="preserve"> osiguranja</w:t>
      </w:r>
      <w:r w:rsidR="00661E77">
        <w:t xml:space="preserve">, </w:t>
      </w:r>
      <w:r w:rsidR="002C5F16">
        <w:t>financijski rashodi te</w:t>
      </w:r>
      <w:r w:rsidR="001E470D">
        <w:t xml:space="preserve"> n</w:t>
      </w:r>
      <w:r w:rsidR="001E470D" w:rsidRPr="001E470D">
        <w:t>aknade građanima i kućanstvima u novcu</w:t>
      </w:r>
      <w:r w:rsidR="001E470D">
        <w:t xml:space="preserve">. </w:t>
      </w:r>
      <w:r w:rsidR="0021683E">
        <w:t>S druge strane, rashodi</w:t>
      </w:r>
      <w:r w:rsidR="007D6C79">
        <w:t xml:space="preserve"> za zaposlene</w:t>
      </w:r>
      <w:r w:rsidRPr="006419B6">
        <w:t xml:space="preserve">, </w:t>
      </w:r>
      <w:r w:rsidR="0021683E">
        <w:t>r</w:t>
      </w:r>
      <w:r w:rsidR="002C5F16">
        <w:t>ashodi za energiju</w:t>
      </w:r>
      <w:r w:rsidR="00837C56">
        <w:t>,</w:t>
      </w:r>
      <w:r w:rsidR="00837C56" w:rsidRPr="00837C56">
        <w:t xml:space="preserve"> komunalne usluge, zakupnine i najamnine, zdravstvene usluge, </w:t>
      </w:r>
      <w:r w:rsidR="00837C56">
        <w:t>računalne usluge, ostale usluge i</w:t>
      </w:r>
      <w:r w:rsidR="00837C56" w:rsidRPr="00837C56">
        <w:t xml:space="preserve"> troškovi reprezentacije </w:t>
      </w:r>
      <w:r w:rsidR="0021683E">
        <w:t>su se povećali</w:t>
      </w:r>
      <w:r w:rsidRPr="006419B6">
        <w:t>.</w:t>
      </w:r>
    </w:p>
    <w:p w14:paraId="5DB479B4" w14:textId="1F21EDAA" w:rsidR="002B2F14" w:rsidRPr="002B2F14" w:rsidRDefault="002C5F16" w:rsidP="007938FD">
      <w:pPr>
        <w:keepNext/>
        <w:jc w:val="both"/>
        <w:rPr>
          <w:color w:val="FF0000"/>
        </w:rPr>
      </w:pPr>
      <w:r>
        <w:t>Višak</w:t>
      </w:r>
      <w:r w:rsidR="00A65998" w:rsidRPr="006419B6">
        <w:t xml:space="preserve"> prihoda poslovanja utvrđen za promatrano razdoblje iznosi </w:t>
      </w:r>
      <w:r w:rsidRPr="002C5F16">
        <w:t>22.211.942</w:t>
      </w:r>
      <w:r w:rsidR="00A65998" w:rsidRPr="006419B6">
        <w:t xml:space="preserve"> kn. </w:t>
      </w:r>
      <w:r w:rsidR="003D051E">
        <w:t>P</w:t>
      </w:r>
      <w:r w:rsidR="00A65998" w:rsidRPr="006419B6">
        <w:t>renesen</w:t>
      </w:r>
      <w:r w:rsidR="003D051E">
        <w:t>i</w:t>
      </w:r>
      <w:r w:rsidR="00A65998" w:rsidRPr="006419B6">
        <w:t xml:space="preserve"> višak prihoda poslovanja </w:t>
      </w:r>
      <w:r w:rsidR="003D051E" w:rsidRPr="002B2F14">
        <w:t>iznosi</w:t>
      </w:r>
      <w:r w:rsidR="00A65998" w:rsidRPr="002B2F14">
        <w:t xml:space="preserve"> </w:t>
      </w:r>
      <w:r w:rsidRPr="002C5F16">
        <w:t>29.050.918</w:t>
      </w:r>
      <w:r w:rsidR="00A65998" w:rsidRPr="002B2F14">
        <w:t xml:space="preserve"> kn.</w:t>
      </w:r>
      <w:r w:rsidR="00910F41">
        <w:t xml:space="preserve"> </w:t>
      </w:r>
    </w:p>
    <w:p w14:paraId="08171E13" w14:textId="77777777" w:rsidR="00A65998" w:rsidRPr="006419B6" w:rsidRDefault="00A65998" w:rsidP="00A65998">
      <w:pPr>
        <w:keepNext/>
        <w:jc w:val="both"/>
      </w:pPr>
    </w:p>
    <w:p w14:paraId="79E9736D" w14:textId="7DE32D0B" w:rsidR="00A65998" w:rsidRPr="006419B6" w:rsidRDefault="00A65998" w:rsidP="00A65998">
      <w:pPr>
        <w:keepNext/>
        <w:jc w:val="both"/>
      </w:pPr>
      <w:r w:rsidRPr="006419B6">
        <w:t>Prihodi od prodaje nefinancijske imovine ostvareni su u razdoblju od 1. siječnja do 3</w:t>
      </w:r>
      <w:r w:rsidR="005768FD">
        <w:t>1</w:t>
      </w:r>
      <w:r w:rsidRPr="006419B6">
        <w:t xml:space="preserve">. </w:t>
      </w:r>
      <w:r w:rsidR="005768FD">
        <w:t>prosinca</w:t>
      </w:r>
      <w:r w:rsidR="002C5F16">
        <w:t xml:space="preserve"> 2021</w:t>
      </w:r>
      <w:r w:rsidRPr="006419B6">
        <w:t xml:space="preserve">. u iznosu </w:t>
      </w:r>
      <w:r>
        <w:t xml:space="preserve">od </w:t>
      </w:r>
      <w:r w:rsidR="002C5F16" w:rsidRPr="002C5F16">
        <w:t>76.000</w:t>
      </w:r>
      <w:r w:rsidRPr="006419B6">
        <w:t xml:space="preserve"> kn što predstavlja značajno </w:t>
      </w:r>
      <w:r w:rsidR="002C5F16">
        <w:t>smanjenje</w:t>
      </w:r>
      <w:r w:rsidRPr="006419B6">
        <w:t xml:space="preserve"> ostvarenja ovih prihoda u odnosu na promatrano razdoblje prethodne go</w:t>
      </w:r>
      <w:r>
        <w:t xml:space="preserve">dine kad su iznosili </w:t>
      </w:r>
      <w:r w:rsidR="002C5F16" w:rsidRPr="002C5F16">
        <w:t>437.850</w:t>
      </w:r>
      <w:r>
        <w:t xml:space="preserve"> kn</w:t>
      </w:r>
      <w:r w:rsidR="002C5F16">
        <w:t xml:space="preserve"> </w:t>
      </w:r>
      <w:r w:rsidR="002312E5">
        <w:t>(</w:t>
      </w:r>
      <w:r w:rsidR="002C5F16">
        <w:t xml:space="preserve">prodaja </w:t>
      </w:r>
      <w:r>
        <w:t xml:space="preserve">devet </w:t>
      </w:r>
      <w:r w:rsidR="00AB7279">
        <w:t xml:space="preserve">službenih </w:t>
      </w:r>
      <w:r>
        <w:t>vozila</w:t>
      </w:r>
      <w:r w:rsidR="002312E5">
        <w:t>)</w:t>
      </w:r>
      <w:r>
        <w:t xml:space="preserve">. </w:t>
      </w:r>
      <w:r w:rsidR="000D301C">
        <w:t xml:space="preserve"> </w:t>
      </w:r>
    </w:p>
    <w:p w14:paraId="0BFE031A" w14:textId="416873C5" w:rsidR="00A65998" w:rsidRDefault="00A65998" w:rsidP="00A65998">
      <w:pPr>
        <w:jc w:val="both"/>
      </w:pPr>
      <w:r>
        <w:t xml:space="preserve">Rashodi za nabavu nefinancijske imovine su ostvareni u iznosu od </w:t>
      </w:r>
      <w:r w:rsidR="006B3CB2" w:rsidRPr="006B3CB2">
        <w:t>7.019.654</w:t>
      </w:r>
      <w:r>
        <w:t xml:space="preserve"> kn, što predstavlja </w:t>
      </w:r>
      <w:r w:rsidR="006B3CB2">
        <w:t>smanjenje</w:t>
      </w:r>
      <w:r>
        <w:t xml:space="preserve"> ostvarenja ovih rashoda u odnosu na promatrano razdoblje prethodne godine </w:t>
      </w:r>
      <w:r w:rsidR="006B3CB2">
        <w:t>za 7,9%</w:t>
      </w:r>
      <w:r>
        <w:t xml:space="preserve">. </w:t>
      </w:r>
      <w:r w:rsidR="004138CF">
        <w:t>Najveći dio r</w:t>
      </w:r>
      <w:r>
        <w:t>as</w:t>
      </w:r>
      <w:r w:rsidR="004138CF">
        <w:t xml:space="preserve">hoda </w:t>
      </w:r>
      <w:r>
        <w:t xml:space="preserve">za nabavu nefinancijske imovine </w:t>
      </w:r>
      <w:r w:rsidR="004138CF">
        <w:t xml:space="preserve">se odnosi na rashode za nabavu </w:t>
      </w:r>
      <w:r w:rsidR="00EC5BA0">
        <w:t>mjernih instrumenata i</w:t>
      </w:r>
      <w:r w:rsidR="00EC5BA0" w:rsidRPr="00EC5BA0">
        <w:t xml:space="preserve"> uređaj</w:t>
      </w:r>
      <w:r w:rsidR="00EC5BA0">
        <w:t>a</w:t>
      </w:r>
      <w:r w:rsidR="00EC7B08">
        <w:t>, uredske opreme i</w:t>
      </w:r>
      <w:r w:rsidR="004138CF">
        <w:t xml:space="preserve"> računalnih programa</w:t>
      </w:r>
      <w:r w:rsidR="00EC7B08">
        <w:t>,</w:t>
      </w:r>
      <w:r w:rsidR="006A116C">
        <w:t xml:space="preserve"> rashode</w:t>
      </w:r>
      <w:r w:rsidRPr="003B4120">
        <w:t xml:space="preserve"> za dodatna ulaganja </w:t>
      </w:r>
      <w:r w:rsidR="007B39AF">
        <w:t>na postrojenjima i opremi te</w:t>
      </w:r>
      <w:r w:rsidR="00EC7B08">
        <w:t xml:space="preserve"> rashode</w:t>
      </w:r>
      <w:r w:rsidR="004138CF">
        <w:t xml:space="preserve"> </w:t>
      </w:r>
      <w:r w:rsidRPr="003B4120">
        <w:t xml:space="preserve">za </w:t>
      </w:r>
      <w:r w:rsidR="004138CF" w:rsidRPr="004138CF">
        <w:t xml:space="preserve">dodatna ulaganja </w:t>
      </w:r>
      <w:r w:rsidR="004138CF">
        <w:t xml:space="preserve">za </w:t>
      </w:r>
      <w:r w:rsidRPr="003B4120">
        <w:t>ostalu nefinancijsku imovinu.</w:t>
      </w:r>
      <w:r>
        <w:t xml:space="preserve"> </w:t>
      </w:r>
      <w:r w:rsidR="00FA01B6">
        <w:t xml:space="preserve"> </w:t>
      </w:r>
    </w:p>
    <w:p w14:paraId="2AC9C281" w14:textId="0974A7BA" w:rsidR="00A65998" w:rsidRDefault="00A65998" w:rsidP="00A65998">
      <w:pPr>
        <w:jc w:val="both"/>
      </w:pPr>
      <w:r>
        <w:t xml:space="preserve">Ostvareni manjak prihoda od nefinancijske imovine iznosi </w:t>
      </w:r>
      <w:r w:rsidR="00C14AD9" w:rsidRPr="00C14AD9">
        <w:t>6.943.654</w:t>
      </w:r>
      <w:r>
        <w:t xml:space="preserve"> kn te </w:t>
      </w:r>
      <w:r w:rsidR="00C14AD9">
        <w:t>je za 3,4% manji</w:t>
      </w:r>
      <w:r>
        <w:t xml:space="preserve"> u odnosu na ostvarenje u istom razdoblju 20</w:t>
      </w:r>
      <w:r w:rsidR="00C14AD9">
        <w:t>20</w:t>
      </w:r>
      <w:r>
        <w:t xml:space="preserve">. </w:t>
      </w:r>
      <w:r w:rsidR="00EA6B87">
        <w:t xml:space="preserve"> </w:t>
      </w:r>
    </w:p>
    <w:p w14:paraId="1937A256" w14:textId="77777777" w:rsidR="00A65998" w:rsidRDefault="00A65998" w:rsidP="00A65998">
      <w:pPr>
        <w:jc w:val="both"/>
      </w:pPr>
    </w:p>
    <w:p w14:paraId="065B7E0F" w14:textId="50156AAF" w:rsidR="00A65998" w:rsidRDefault="00A65998" w:rsidP="00A65998">
      <w:pPr>
        <w:jc w:val="both"/>
      </w:pPr>
      <w:r>
        <w:t>Ukupni rezultat HAKOM-a u 202</w:t>
      </w:r>
      <w:r w:rsidR="003761C7">
        <w:t>1</w:t>
      </w:r>
      <w:r>
        <w:t xml:space="preserve">. je </w:t>
      </w:r>
      <w:r w:rsidR="003761C7">
        <w:t>višak</w:t>
      </w:r>
      <w:r>
        <w:t xml:space="preserve"> prihoda i primitaka u iznosu od </w:t>
      </w:r>
      <w:r w:rsidR="003761C7" w:rsidRPr="003761C7">
        <w:t>15.268.288</w:t>
      </w:r>
      <w:r>
        <w:t xml:space="preserve"> kn, a s obzirom da prenesen</w:t>
      </w:r>
      <w:r w:rsidR="00A04D4D">
        <w:t>i</w:t>
      </w:r>
      <w:r>
        <w:t xml:space="preserve"> višak prihoda i primitaka </w:t>
      </w:r>
      <w:r w:rsidR="00A04D4D">
        <w:t>i</w:t>
      </w:r>
      <w:r>
        <w:t>znos</w:t>
      </w:r>
      <w:r w:rsidR="00A04D4D">
        <w:t xml:space="preserve">i </w:t>
      </w:r>
      <w:r w:rsidR="003761C7" w:rsidRPr="003761C7">
        <w:t>29.050.918</w:t>
      </w:r>
      <w:r>
        <w:t xml:space="preserve"> kn, ukupni višak prihoda i primitaka raspoloživ u sljedećem razdoblju iznosi </w:t>
      </w:r>
      <w:r w:rsidR="003761C7" w:rsidRPr="003761C7">
        <w:t>44.319.206</w:t>
      </w:r>
      <w:r>
        <w:t xml:space="preserve"> kn.</w:t>
      </w:r>
      <w:r w:rsidR="00A04D4D">
        <w:t xml:space="preserve"> </w:t>
      </w:r>
      <w:r w:rsidR="00D36EDA">
        <w:t xml:space="preserve"> </w:t>
      </w:r>
    </w:p>
    <w:p w14:paraId="63324F3D" w14:textId="77777777" w:rsidR="00271431" w:rsidRDefault="00271431" w:rsidP="00271431">
      <w:pPr>
        <w:jc w:val="center"/>
      </w:pPr>
    </w:p>
    <w:p w14:paraId="341585E2" w14:textId="77777777" w:rsidR="00A65998" w:rsidRDefault="00A65998" w:rsidP="00A65998">
      <w:pPr>
        <w:jc w:val="center"/>
      </w:pPr>
      <w:r>
        <w:t>Bilješka 3.</w:t>
      </w:r>
    </w:p>
    <w:p w14:paraId="38BDF35D" w14:textId="77777777" w:rsidR="00A65998" w:rsidRDefault="00A65998" w:rsidP="00A65998">
      <w:pPr>
        <w:jc w:val="center"/>
      </w:pPr>
      <w:r>
        <w:t>AOP 052 Tekuće pomoći od institucija i tijela EU</w:t>
      </w:r>
    </w:p>
    <w:p w14:paraId="4E1A74C2" w14:textId="77777777" w:rsidR="00EC227D" w:rsidRDefault="00EC227D" w:rsidP="00A65998">
      <w:pPr>
        <w:jc w:val="center"/>
      </w:pPr>
    </w:p>
    <w:p w14:paraId="6A2DFC77" w14:textId="6C19D48E" w:rsidR="00A65998" w:rsidRDefault="00A65998" w:rsidP="00A65998">
      <w:pPr>
        <w:jc w:val="both"/>
      </w:pPr>
      <w:r>
        <w:t>T</w:t>
      </w:r>
      <w:r w:rsidRPr="00B0378B">
        <w:t xml:space="preserve">ekuće pomoći od institucija i tijela EU ostvarene su u </w:t>
      </w:r>
      <w:r>
        <w:t>202</w:t>
      </w:r>
      <w:r w:rsidR="009917FA">
        <w:t>1</w:t>
      </w:r>
      <w:r w:rsidR="001C1B61">
        <w:t xml:space="preserve">. u iznosu od </w:t>
      </w:r>
      <w:r w:rsidR="009917FA" w:rsidRPr="009917FA">
        <w:t>17.824</w:t>
      </w:r>
      <w:r w:rsidRPr="00B0378B">
        <w:t xml:space="preserve"> kn, što je </w:t>
      </w:r>
      <w:r w:rsidR="009917FA">
        <w:t>81,2</w:t>
      </w:r>
      <w:r w:rsidRPr="00B0378B">
        <w:t xml:space="preserve">% </w:t>
      </w:r>
      <w:r>
        <w:t>manje</w:t>
      </w:r>
      <w:r w:rsidRPr="00B0378B">
        <w:t xml:space="preserve"> u odnosu na ostvarenje u prethodnom izvještajnom razdoblju. Od ukupnog iznosa pomoći od EU evidentiranog u izvještaju, </w:t>
      </w:r>
      <w:r w:rsidR="009917FA">
        <w:t>11.582</w:t>
      </w:r>
      <w:r>
        <w:t xml:space="preserve"> kn se odnosi na refundaciju troškova službenih putovanja </w:t>
      </w:r>
      <w:r w:rsidRPr="00D101B8">
        <w:t xml:space="preserve">od BEREC-a </w:t>
      </w:r>
      <w:r>
        <w:t>(</w:t>
      </w:r>
      <w:r w:rsidRPr="00D101B8">
        <w:t>Tijel</w:t>
      </w:r>
      <w:r>
        <w:t>o</w:t>
      </w:r>
      <w:r w:rsidRPr="00D101B8">
        <w:t xml:space="preserve"> europskih regulator</w:t>
      </w:r>
      <w:r>
        <w:t>a za elektroničke komunikacije)</w:t>
      </w:r>
      <w:r w:rsidR="009917FA">
        <w:t xml:space="preserve">, a 6.242 </w:t>
      </w:r>
      <w:r w:rsidR="00FF01D4">
        <w:t xml:space="preserve">kn </w:t>
      </w:r>
      <w:r w:rsidR="009917FA">
        <w:t>od Europske komisije</w:t>
      </w:r>
      <w:r>
        <w:t xml:space="preserve">. Smanjenje prihoda tekućih pomoći od </w:t>
      </w:r>
      <w:r w:rsidRPr="00B701A6">
        <w:t>institucija i tijela EU</w:t>
      </w:r>
      <w:r w:rsidR="003856F3">
        <w:t xml:space="preserve"> je rezultat ograničavanja</w:t>
      </w:r>
      <w:r>
        <w:t xml:space="preserve"> inozemnih službenih putovanja </w:t>
      </w:r>
      <w:r w:rsidR="003856F3">
        <w:t xml:space="preserve">tijekom 2021. </w:t>
      </w:r>
      <w:r>
        <w:t xml:space="preserve">zbog krize uzrokovane virusom COVID-19. </w:t>
      </w:r>
    </w:p>
    <w:p w14:paraId="1C16D471" w14:textId="77777777" w:rsidR="00271431" w:rsidRDefault="00271431" w:rsidP="00A65998">
      <w:pPr>
        <w:jc w:val="both"/>
      </w:pPr>
    </w:p>
    <w:p w14:paraId="1EA19C83" w14:textId="7FB5636C" w:rsidR="003856F3" w:rsidRDefault="003856F3" w:rsidP="003856F3">
      <w:pPr>
        <w:jc w:val="center"/>
      </w:pPr>
      <w:r>
        <w:t>Bilješka 4.</w:t>
      </w:r>
    </w:p>
    <w:p w14:paraId="1A2F8437" w14:textId="243EF892" w:rsidR="003856F3" w:rsidRDefault="003856F3" w:rsidP="003856F3">
      <w:pPr>
        <w:jc w:val="center"/>
      </w:pPr>
      <w:r>
        <w:t xml:space="preserve">AOP 077 </w:t>
      </w:r>
      <w:r w:rsidR="00EC227D">
        <w:t>Prihodi od imovine</w:t>
      </w:r>
    </w:p>
    <w:p w14:paraId="1A17F5D7" w14:textId="77777777" w:rsidR="00EC227D" w:rsidRDefault="00EC227D" w:rsidP="003856F3">
      <w:pPr>
        <w:jc w:val="center"/>
      </w:pPr>
    </w:p>
    <w:p w14:paraId="32E0C180" w14:textId="60EA0E15" w:rsidR="00271431" w:rsidRDefault="003856F3" w:rsidP="00A65998">
      <w:pPr>
        <w:jc w:val="both"/>
      </w:pPr>
      <w:r>
        <w:t xml:space="preserve">Prihodi od imovine su u 2021. evidentirani u iznosu od </w:t>
      </w:r>
      <w:r w:rsidRPr="003856F3">
        <w:t>20.644</w:t>
      </w:r>
      <w:r>
        <w:t xml:space="preserve"> kn što predstavlja smanjenje u odnosu na 2020. kada su iznosili </w:t>
      </w:r>
      <w:r w:rsidRPr="003856F3">
        <w:t>75.856</w:t>
      </w:r>
      <w:r>
        <w:t xml:space="preserve"> kn</w:t>
      </w:r>
      <w:r w:rsidR="00F17ACC">
        <w:t>. Značajno su smanjene k</w:t>
      </w:r>
      <w:r w:rsidR="00F17ACC" w:rsidRPr="00F17ACC">
        <w:t>amate na depozite po viđenju</w:t>
      </w:r>
      <w:r w:rsidR="00F17ACC">
        <w:t xml:space="preserve"> jer su </w:t>
      </w:r>
      <w:r w:rsidR="002A4244">
        <w:t xml:space="preserve">niže </w:t>
      </w:r>
      <w:r w:rsidR="00F17ACC">
        <w:t xml:space="preserve">kamatne stope poslovne banke. Isto tako, manji su i prihodi od zateznih kamata jer poslovni subjekti </w:t>
      </w:r>
      <w:r w:rsidR="00C80A5A">
        <w:t>uglavnom</w:t>
      </w:r>
      <w:r w:rsidR="00C80A5A">
        <w:t xml:space="preserve"> </w:t>
      </w:r>
      <w:r w:rsidR="00F17ACC">
        <w:t xml:space="preserve">plaćaju do datuma dospijeća pa su obračunate i naplaćene </w:t>
      </w:r>
      <w:r w:rsidR="00602787">
        <w:t>niže</w:t>
      </w:r>
      <w:r w:rsidR="00602787">
        <w:t xml:space="preserve"> </w:t>
      </w:r>
      <w:r w:rsidR="00982CDE">
        <w:t>zatezne kamate</w:t>
      </w:r>
      <w:r w:rsidR="00F17ACC">
        <w:t>.</w:t>
      </w:r>
      <w:r w:rsidR="00C80A5A">
        <w:t xml:space="preserve"> </w:t>
      </w:r>
      <w:r w:rsidR="00602787">
        <w:t xml:space="preserve"> </w:t>
      </w:r>
    </w:p>
    <w:p w14:paraId="5DA875E9" w14:textId="0B6423C1" w:rsidR="00A65998" w:rsidRDefault="00A65998" w:rsidP="00A65998">
      <w:pPr>
        <w:jc w:val="center"/>
      </w:pPr>
      <w:r>
        <w:lastRenderedPageBreak/>
        <w:t xml:space="preserve">Bilješka </w:t>
      </w:r>
      <w:r w:rsidR="00811D50">
        <w:t>5</w:t>
      </w:r>
      <w:r>
        <w:t>.</w:t>
      </w:r>
    </w:p>
    <w:p w14:paraId="22C0482F" w14:textId="6F0B327E" w:rsidR="00A65998" w:rsidRDefault="00A65998" w:rsidP="00A65998">
      <w:pPr>
        <w:jc w:val="center"/>
      </w:pPr>
      <w:r>
        <w:t>AOP 11</w:t>
      </w:r>
      <w:r w:rsidR="004A09F0">
        <w:t>2</w:t>
      </w:r>
      <w:r>
        <w:t xml:space="preserve"> Prihodi po posebnim propisima</w:t>
      </w:r>
    </w:p>
    <w:p w14:paraId="1ED2CD1C" w14:textId="77777777" w:rsidR="00EC227D" w:rsidRDefault="00EC227D" w:rsidP="00A65998">
      <w:pPr>
        <w:jc w:val="center"/>
      </w:pPr>
    </w:p>
    <w:p w14:paraId="239F1B41" w14:textId="13A76391" w:rsidR="000A12B5" w:rsidRPr="000A12B5" w:rsidRDefault="00A65998" w:rsidP="000A12B5">
      <w:pPr>
        <w:suppressAutoHyphens/>
        <w:spacing w:after="160" w:line="259" w:lineRule="auto"/>
        <w:contextualSpacing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</w:t>
      </w:r>
      <w:r w:rsidRPr="000E7D95">
        <w:rPr>
          <w:rFonts w:eastAsia="Calibri"/>
          <w:lang w:eastAsia="en-US"/>
        </w:rPr>
        <w:t>rihod</w:t>
      </w:r>
      <w:r>
        <w:rPr>
          <w:rFonts w:eastAsia="Calibri"/>
          <w:lang w:eastAsia="en-US"/>
        </w:rPr>
        <w:t>i</w:t>
      </w:r>
      <w:r w:rsidRPr="000E7D95">
        <w:rPr>
          <w:rFonts w:eastAsia="Calibri"/>
          <w:lang w:eastAsia="en-US"/>
        </w:rPr>
        <w:t xml:space="preserve"> po posebnim </w:t>
      </w:r>
      <w:r w:rsidRPr="00996A4D">
        <w:rPr>
          <w:rFonts w:eastAsia="Calibri"/>
          <w:lang w:eastAsia="en-US"/>
        </w:rPr>
        <w:t>propisima</w:t>
      </w:r>
      <w:r>
        <w:rPr>
          <w:rFonts w:eastAsia="Calibri"/>
          <w:lang w:eastAsia="en-US"/>
        </w:rPr>
        <w:t>,</w:t>
      </w:r>
      <w:r w:rsidRPr="00996A4D">
        <w:rPr>
          <w:rFonts w:eastAsia="Calibri"/>
          <w:lang w:eastAsia="en-US"/>
        </w:rPr>
        <w:t xml:space="preserve"> koji se </w:t>
      </w:r>
      <w:r>
        <w:rPr>
          <w:rFonts w:eastAsia="Calibri"/>
          <w:lang w:eastAsia="en-US"/>
        </w:rPr>
        <w:t xml:space="preserve">odnose na naknade za uporabu radiofrekvencijskog spektra, naknade za uporabu adresa i brojeva, naknade za obavljanje poslova HAKOM-a u području poštanskih i željezničkih usluga te drugih poslova u području elektroničkih komunikacija, </w:t>
      </w:r>
      <w:r w:rsidRPr="00996A4D">
        <w:t>su</w:t>
      </w:r>
      <w:r w:rsidRPr="00B0378B">
        <w:t xml:space="preserve"> u </w:t>
      </w:r>
      <w:r w:rsidR="004A09F0">
        <w:t>2021</w:t>
      </w:r>
      <w:r w:rsidRPr="00B0378B">
        <w:t xml:space="preserve">. </w:t>
      </w:r>
      <w:r>
        <w:t xml:space="preserve">ostvareni </w:t>
      </w:r>
      <w:r w:rsidRPr="00B0378B">
        <w:t xml:space="preserve">u iznosu od </w:t>
      </w:r>
      <w:r w:rsidR="004A09F0" w:rsidRPr="004A09F0">
        <w:rPr>
          <w:rFonts w:eastAsia="Calibri"/>
          <w:lang w:eastAsia="en-US"/>
        </w:rPr>
        <w:t>100.139.351</w:t>
      </w:r>
      <w:r w:rsidRPr="00B0387C">
        <w:rPr>
          <w:rFonts w:eastAsia="Calibri"/>
          <w:lang w:eastAsia="en-US"/>
        </w:rPr>
        <w:t xml:space="preserve"> kn</w:t>
      </w:r>
      <w:r w:rsidRPr="00B0387C">
        <w:t xml:space="preserve">, što je </w:t>
      </w:r>
      <w:r w:rsidR="004A09F0">
        <w:t>17,1</w:t>
      </w:r>
      <w:r w:rsidRPr="00B0387C">
        <w:t xml:space="preserve">% </w:t>
      </w:r>
      <w:r w:rsidR="004A09F0">
        <w:t>više</w:t>
      </w:r>
      <w:r w:rsidRPr="00B0387C">
        <w:t xml:space="preserve"> u odnosu na ostvarenje u prethodnom izvještajnom razdoblju.</w:t>
      </w:r>
      <w:r w:rsidR="000A12B5">
        <w:rPr>
          <w:rFonts w:eastAsia="Calibri"/>
          <w:lang w:eastAsia="en-US"/>
        </w:rPr>
        <w:t xml:space="preserve"> Na povećanje prihoda</w:t>
      </w:r>
      <w:r w:rsidR="001468AC">
        <w:rPr>
          <w:rFonts w:eastAsia="Calibri"/>
          <w:lang w:eastAsia="en-US"/>
        </w:rPr>
        <w:t xml:space="preserve"> je </w:t>
      </w:r>
      <w:r w:rsidR="0075388E">
        <w:rPr>
          <w:rFonts w:eastAsia="Calibri"/>
          <w:lang w:eastAsia="en-US"/>
        </w:rPr>
        <w:t xml:space="preserve">najvećim dijelom </w:t>
      </w:r>
      <w:r w:rsidR="00903614">
        <w:rPr>
          <w:rFonts w:eastAsia="Calibri"/>
          <w:lang w:eastAsia="en-US"/>
        </w:rPr>
        <w:t>utjecala</w:t>
      </w:r>
      <w:r w:rsidR="001468AC">
        <w:rPr>
          <w:rFonts w:eastAsia="Calibri"/>
          <w:lang w:eastAsia="en-US"/>
        </w:rPr>
        <w:t xml:space="preserve"> </w:t>
      </w:r>
      <w:r w:rsidR="0007763F">
        <w:rPr>
          <w:rFonts w:eastAsia="Calibri"/>
          <w:lang w:eastAsia="en-US"/>
        </w:rPr>
        <w:t xml:space="preserve">naplata naknada temeljem </w:t>
      </w:r>
      <w:r w:rsidR="001468AC" w:rsidRPr="00A8424D">
        <w:rPr>
          <w:rFonts w:eastAsia="Calibri"/>
          <w:lang w:eastAsia="en-US"/>
        </w:rPr>
        <w:t>dozvola za uporabu RF spektra za mreže pokretnih komunik</w:t>
      </w:r>
      <w:r w:rsidR="00BA32F3">
        <w:rPr>
          <w:rFonts w:eastAsia="Calibri"/>
          <w:lang w:eastAsia="en-US"/>
        </w:rPr>
        <w:t>acija pete generacije (5G) na području Republike Hrvatske. Dozvole</w:t>
      </w:r>
      <w:r w:rsidR="008E0AFB">
        <w:rPr>
          <w:rFonts w:eastAsia="Calibri"/>
          <w:lang w:eastAsia="en-US"/>
        </w:rPr>
        <w:t xml:space="preserve"> su izdane</w:t>
      </w:r>
      <w:r w:rsidR="000A12B5">
        <w:rPr>
          <w:rFonts w:eastAsia="Calibri"/>
          <w:lang w:eastAsia="en-US"/>
        </w:rPr>
        <w:t xml:space="preserve"> </w:t>
      </w:r>
      <w:r w:rsidR="008E0AFB">
        <w:rPr>
          <w:rFonts w:eastAsia="Calibri"/>
          <w:lang w:eastAsia="en-US"/>
        </w:rPr>
        <w:t>nakon provedenog postupka</w:t>
      </w:r>
      <w:r w:rsidR="000A12B5">
        <w:rPr>
          <w:rFonts w:eastAsia="Calibri"/>
          <w:lang w:eastAsia="en-US"/>
        </w:rPr>
        <w:t xml:space="preserve"> </w:t>
      </w:r>
      <w:r w:rsidR="001468AC">
        <w:rPr>
          <w:rFonts w:eastAsia="Calibri"/>
          <w:lang w:eastAsia="en-US"/>
        </w:rPr>
        <w:t>javne dražbe.</w:t>
      </w:r>
      <w:r w:rsidR="00A8424D" w:rsidRPr="00A8424D">
        <w:rPr>
          <w:rFonts w:eastAsia="Calibri"/>
          <w:lang w:eastAsia="en-US"/>
        </w:rPr>
        <w:t xml:space="preserve"> </w:t>
      </w:r>
    </w:p>
    <w:p w14:paraId="240C8258" w14:textId="77777777" w:rsidR="006E7D10" w:rsidRDefault="006E7D10" w:rsidP="006E7D10">
      <w:pPr>
        <w:suppressAutoHyphens/>
        <w:spacing w:after="160" w:line="259" w:lineRule="auto"/>
        <w:contextualSpacing/>
        <w:jc w:val="center"/>
        <w:rPr>
          <w:rFonts w:eastAsia="Calibri"/>
          <w:lang w:eastAsia="en-US"/>
        </w:rPr>
      </w:pPr>
    </w:p>
    <w:p w14:paraId="2E3C0798" w14:textId="24A3E281" w:rsidR="00A65998" w:rsidRDefault="00A65998" w:rsidP="00FB12CA">
      <w:pPr>
        <w:jc w:val="center"/>
      </w:pPr>
      <w:r>
        <w:t xml:space="preserve">Bilješka </w:t>
      </w:r>
      <w:r w:rsidR="00833082">
        <w:t>6</w:t>
      </w:r>
      <w:r>
        <w:t>.</w:t>
      </w:r>
    </w:p>
    <w:p w14:paraId="4FFC253D" w14:textId="028A0263" w:rsidR="00A65998" w:rsidRDefault="00A65998" w:rsidP="00A65998">
      <w:pPr>
        <w:jc w:val="center"/>
      </w:pPr>
      <w:r>
        <w:t>AOP 14</w:t>
      </w:r>
      <w:r w:rsidR="00E524F8">
        <w:t>7</w:t>
      </w:r>
      <w:r w:rsidR="00EC227D">
        <w:t xml:space="preserve"> Rashodi za zaposlene</w:t>
      </w:r>
    </w:p>
    <w:p w14:paraId="3EBD62F4" w14:textId="77777777" w:rsidR="00EC227D" w:rsidRDefault="00EC227D" w:rsidP="00A65998">
      <w:pPr>
        <w:jc w:val="center"/>
      </w:pPr>
    </w:p>
    <w:p w14:paraId="172D78E4" w14:textId="414CF79B" w:rsidR="00A65998" w:rsidRDefault="00A65998" w:rsidP="00A65998">
      <w:pPr>
        <w:jc w:val="both"/>
      </w:pPr>
      <w:r>
        <w:t xml:space="preserve">Rashodi za zaposlene su u promatranom razdoblju ostvareni u iznosu od </w:t>
      </w:r>
      <w:r w:rsidR="00E524F8" w:rsidRPr="00E524F8">
        <w:t>48.014.937</w:t>
      </w:r>
      <w:r w:rsidRPr="001143FF">
        <w:t xml:space="preserve"> kn</w:t>
      </w:r>
      <w:r>
        <w:t xml:space="preserve">, što predstavlja povećanje od </w:t>
      </w:r>
      <w:r w:rsidR="00E524F8">
        <w:t>3,3</w:t>
      </w:r>
      <w:r>
        <w:t>% u odnosu na ostvarenje u promatranom razdoblju prethodne godine. Povećanje rashoda za zaposlene posljedica je većeg broja zaposlenika. Prosječan broj zaposlenih na osnovi stanja na početku i na kraju izvještajnog razdoblja u 202</w:t>
      </w:r>
      <w:r w:rsidR="00E524F8">
        <w:t>1</w:t>
      </w:r>
      <w:r>
        <w:t>. iznosi 18</w:t>
      </w:r>
      <w:r w:rsidR="00E524F8">
        <w:t>7</w:t>
      </w:r>
      <w:r>
        <w:t>, a u 20</w:t>
      </w:r>
      <w:r w:rsidR="00E524F8">
        <w:t>20</w:t>
      </w:r>
      <w:r>
        <w:t>. je iznosio 1</w:t>
      </w:r>
      <w:r w:rsidR="0074681E">
        <w:t>8</w:t>
      </w:r>
      <w:r w:rsidR="00E524F8">
        <w:t>5 (veza AOP 646</w:t>
      </w:r>
      <w:r>
        <w:t xml:space="preserve">). </w:t>
      </w:r>
      <w:r w:rsidR="001A08BF">
        <w:t>U obrascu prethodne godine je greškom naveden broj zaposlenika na stavkama prosje</w:t>
      </w:r>
      <w:r w:rsidR="004C4167">
        <w:t>čnog</w:t>
      </w:r>
      <w:r w:rsidR="00D95CB0">
        <w:t xml:space="preserve"> broj</w:t>
      </w:r>
      <w:r w:rsidR="004C4167">
        <w:t>a</w:t>
      </w:r>
      <w:r w:rsidR="00D95CB0">
        <w:t xml:space="preserve"> zaposlenih u tijelima umjesto </w:t>
      </w:r>
      <w:r w:rsidR="001A08BF">
        <w:t>kod korisnika što je ispravljeno u obrascu PR-RAS za razdoblje od 1. siječnja do 31. prosinca 2021.</w:t>
      </w:r>
    </w:p>
    <w:p w14:paraId="0EF128D6" w14:textId="038A37FB" w:rsidR="006E7D10" w:rsidRDefault="00A65998" w:rsidP="00A65998">
      <w:pPr>
        <w:jc w:val="both"/>
      </w:pPr>
      <w:r w:rsidRPr="005E67B1">
        <w:t>HAKOM u 202</w:t>
      </w:r>
      <w:r w:rsidR="00E524F8">
        <w:t>1</w:t>
      </w:r>
      <w:r w:rsidRPr="005E67B1">
        <w:t xml:space="preserve">. </w:t>
      </w:r>
      <w:r w:rsidR="00E524F8">
        <w:t xml:space="preserve">nije </w:t>
      </w:r>
      <w:r w:rsidRPr="005E67B1">
        <w:t>zapošljavao zaposlenik</w:t>
      </w:r>
      <w:r w:rsidR="00E524F8">
        <w:t>e za koje</w:t>
      </w:r>
      <w:r w:rsidRPr="005E67B1">
        <w:t xml:space="preserve"> </w:t>
      </w:r>
      <w:r w:rsidR="00E524F8">
        <w:t>bi bile</w:t>
      </w:r>
      <w:r w:rsidRPr="005E67B1">
        <w:t xml:space="preserve"> korištene mjere aktivne politike zapošljavanja koje provode Ministarstvo rada i mirovinskoga sustava i Hrvatski zavod za zapošljavanje (mjere za stjecanje prvog radnog iskustva/pripravništva).</w:t>
      </w:r>
      <w:r>
        <w:t xml:space="preserve"> </w:t>
      </w:r>
    </w:p>
    <w:p w14:paraId="3FBEB4C3" w14:textId="77777777" w:rsidR="006E7D10" w:rsidRDefault="006E7D10" w:rsidP="00A65998">
      <w:pPr>
        <w:jc w:val="both"/>
      </w:pPr>
    </w:p>
    <w:p w14:paraId="7921C15D" w14:textId="1C0AE063" w:rsidR="00A65998" w:rsidRDefault="00A65998" w:rsidP="00A65998">
      <w:pPr>
        <w:jc w:val="center"/>
      </w:pPr>
      <w:r>
        <w:t xml:space="preserve">Bilješka </w:t>
      </w:r>
      <w:r w:rsidR="00833082">
        <w:t>7</w:t>
      </w:r>
      <w:r>
        <w:t>.</w:t>
      </w:r>
    </w:p>
    <w:p w14:paraId="1F03FA68" w14:textId="03C30F60" w:rsidR="00A65998" w:rsidRDefault="00F424ED" w:rsidP="00A65998">
      <w:pPr>
        <w:jc w:val="center"/>
      </w:pPr>
      <w:r>
        <w:t>AOP 158</w:t>
      </w:r>
      <w:r w:rsidR="00A65998">
        <w:t xml:space="preserve"> Materijalni rashodi</w:t>
      </w:r>
    </w:p>
    <w:p w14:paraId="68924B82" w14:textId="77777777" w:rsidR="00EC227D" w:rsidRDefault="00EC227D" w:rsidP="00A65998">
      <w:pPr>
        <w:jc w:val="center"/>
      </w:pPr>
    </w:p>
    <w:p w14:paraId="7B28D380" w14:textId="39573768" w:rsidR="00A65998" w:rsidRDefault="00A65998" w:rsidP="00A65998">
      <w:pPr>
        <w:jc w:val="both"/>
        <w:rPr>
          <w:rFonts w:eastAsia="Calibri"/>
          <w:lang w:eastAsia="en-US"/>
        </w:rPr>
      </w:pPr>
      <w:r>
        <w:t xml:space="preserve">Materijalni rashodi su </w:t>
      </w:r>
      <w:r w:rsidR="00F424ED">
        <w:t xml:space="preserve">tijekom 2021. </w:t>
      </w:r>
      <w:r>
        <w:t xml:space="preserve">ostvareni u iznosu od </w:t>
      </w:r>
      <w:r w:rsidR="00F424ED" w:rsidRPr="00F424ED">
        <w:rPr>
          <w:rFonts w:eastAsia="Calibri"/>
          <w:lang w:eastAsia="en-US"/>
        </w:rPr>
        <w:t>29.918.768</w:t>
      </w:r>
      <w:r w:rsidRPr="000E7D95">
        <w:rPr>
          <w:rFonts w:eastAsia="Calibri"/>
          <w:lang w:eastAsia="en-US"/>
        </w:rPr>
        <w:t xml:space="preserve"> kn</w:t>
      </w:r>
      <w:r>
        <w:rPr>
          <w:rFonts w:eastAsia="Calibri"/>
          <w:lang w:eastAsia="en-US"/>
        </w:rPr>
        <w:t xml:space="preserve">, što predstavlja </w:t>
      </w:r>
      <w:r w:rsidR="00F424ED">
        <w:rPr>
          <w:rFonts w:eastAsia="Calibri"/>
          <w:lang w:eastAsia="en-US"/>
        </w:rPr>
        <w:t>značajno smanjenje</w:t>
      </w:r>
      <w:r>
        <w:rPr>
          <w:rFonts w:eastAsia="Calibri"/>
          <w:lang w:eastAsia="en-US"/>
        </w:rPr>
        <w:t xml:space="preserve"> u odnosu na promatrano razdoblje prethodne godine</w:t>
      </w:r>
      <w:r w:rsidR="00117537">
        <w:rPr>
          <w:rFonts w:eastAsia="Calibri"/>
          <w:lang w:eastAsia="en-US"/>
        </w:rPr>
        <w:t xml:space="preserve"> </w:t>
      </w:r>
      <w:r w:rsidR="00F424ED">
        <w:rPr>
          <w:rFonts w:eastAsia="Calibri"/>
          <w:lang w:eastAsia="en-US"/>
        </w:rPr>
        <w:t xml:space="preserve">kada su iznosili </w:t>
      </w:r>
      <w:r w:rsidR="00F424ED" w:rsidRPr="00F424ED">
        <w:rPr>
          <w:rFonts w:eastAsia="Calibri"/>
          <w:lang w:eastAsia="en-US"/>
        </w:rPr>
        <w:t>49.822.141</w:t>
      </w:r>
      <w:r w:rsidR="00F424ED">
        <w:rPr>
          <w:rFonts w:eastAsia="Calibri"/>
          <w:lang w:eastAsia="en-US"/>
        </w:rPr>
        <w:t xml:space="preserve"> kn</w:t>
      </w:r>
      <w:r>
        <w:rPr>
          <w:rFonts w:eastAsia="Calibri"/>
          <w:lang w:eastAsia="en-US"/>
        </w:rPr>
        <w:t xml:space="preserve">. Na </w:t>
      </w:r>
      <w:r w:rsidR="00F424ED">
        <w:rPr>
          <w:rFonts w:eastAsia="Calibri"/>
          <w:lang w:eastAsia="en-US"/>
        </w:rPr>
        <w:t>smanjenje je najvećim dijelom utjecalo to što u 2021. nije bilo značajnih troškova</w:t>
      </w:r>
      <w:r>
        <w:rPr>
          <w:rFonts w:eastAsia="Calibri"/>
          <w:lang w:eastAsia="en-US"/>
        </w:rPr>
        <w:t xml:space="preserve"> sudskih postupaka </w:t>
      </w:r>
      <w:r w:rsidR="00F424ED">
        <w:rPr>
          <w:rFonts w:eastAsia="Calibri"/>
          <w:lang w:eastAsia="en-US"/>
        </w:rPr>
        <w:t>koji su u 2020. iznosili</w:t>
      </w:r>
      <w:r>
        <w:rPr>
          <w:rFonts w:eastAsia="Calibri"/>
          <w:lang w:eastAsia="en-US"/>
        </w:rPr>
        <w:t xml:space="preserve"> </w:t>
      </w:r>
      <w:r w:rsidR="00F424ED" w:rsidRPr="00F424ED">
        <w:rPr>
          <w:rFonts w:eastAsia="Calibri"/>
          <w:lang w:eastAsia="en-US"/>
        </w:rPr>
        <w:t>21.476.265</w:t>
      </w:r>
      <w:r w:rsidR="00D12759">
        <w:rPr>
          <w:rFonts w:eastAsia="Calibri"/>
          <w:lang w:eastAsia="en-US"/>
        </w:rPr>
        <w:t xml:space="preserve"> </w:t>
      </w:r>
      <w:r w:rsidR="00F424ED">
        <w:rPr>
          <w:rFonts w:eastAsia="Calibri"/>
          <w:lang w:eastAsia="en-US"/>
        </w:rPr>
        <w:t xml:space="preserve">kn. Od navedenog iznosa, </w:t>
      </w:r>
      <w:r w:rsidRPr="00BE6091">
        <w:rPr>
          <w:rFonts w:eastAsia="Calibri"/>
          <w:lang w:eastAsia="en-US"/>
        </w:rPr>
        <w:t>21.452.827</w:t>
      </w:r>
      <w:r>
        <w:rPr>
          <w:rFonts w:eastAsia="Calibri"/>
          <w:lang w:eastAsia="en-US"/>
        </w:rPr>
        <w:t xml:space="preserve"> kn </w:t>
      </w:r>
      <w:r w:rsidR="00F424ED">
        <w:rPr>
          <w:rFonts w:eastAsia="Calibri"/>
          <w:lang w:eastAsia="en-US"/>
        </w:rPr>
        <w:t>se odnosilo</w:t>
      </w:r>
      <w:r>
        <w:rPr>
          <w:rFonts w:eastAsia="Calibri"/>
          <w:lang w:eastAsia="en-US"/>
        </w:rPr>
        <w:t xml:space="preserve"> na </w:t>
      </w:r>
      <w:r w:rsidRPr="007677A4">
        <w:rPr>
          <w:rFonts w:eastAsia="Calibri"/>
          <w:lang w:eastAsia="en-US"/>
        </w:rPr>
        <w:t>izvršenje arbitražnog pravorijeka u arbitražnom sporu pred Međunarodnim centrom za rješavanje investicijskih sporova u Washingtonu (ICSID predmet ARB15/5), u kojem je Republici Hrvatskoj naloženo nadoknaditi troškove postupka tužitelju B3</w:t>
      </w:r>
      <w:r w:rsidR="00323036">
        <w:rPr>
          <w:rFonts w:eastAsia="Calibri"/>
          <w:lang w:eastAsia="en-US"/>
        </w:rPr>
        <w:t xml:space="preserve"> Croatian Couri</w:t>
      </w:r>
      <w:r w:rsidRPr="007677A4">
        <w:rPr>
          <w:rFonts w:eastAsia="Calibri"/>
          <w:lang w:eastAsia="en-US"/>
        </w:rPr>
        <w:t>er Coopera</w:t>
      </w:r>
      <w:r>
        <w:rPr>
          <w:rFonts w:eastAsia="Calibri"/>
          <w:lang w:eastAsia="en-US"/>
        </w:rPr>
        <w:t>tief U.A. u iznosu od 554.616</w:t>
      </w:r>
      <w:r w:rsidRPr="007677A4">
        <w:rPr>
          <w:rFonts w:eastAsia="Calibri"/>
          <w:lang w:eastAsia="en-US"/>
        </w:rPr>
        <w:t xml:space="preserve"> USD i 3.659.607 EUR. </w:t>
      </w:r>
      <w:r w:rsidR="00323036">
        <w:rPr>
          <w:rFonts w:eastAsia="Calibri"/>
          <w:lang w:eastAsia="en-US"/>
        </w:rPr>
        <w:t>Troškove su podmirili</w:t>
      </w:r>
      <w:r w:rsidR="00F424ED">
        <w:rPr>
          <w:rFonts w:eastAsia="Calibri"/>
          <w:lang w:eastAsia="en-US"/>
        </w:rPr>
        <w:t xml:space="preserve"> </w:t>
      </w:r>
      <w:r w:rsidRPr="007677A4">
        <w:rPr>
          <w:rFonts w:eastAsia="Calibri"/>
          <w:lang w:eastAsia="en-US"/>
        </w:rPr>
        <w:t>Ministarstvo mora, prometa i in</w:t>
      </w:r>
      <w:r>
        <w:rPr>
          <w:rFonts w:eastAsia="Calibri"/>
          <w:lang w:eastAsia="en-US"/>
        </w:rPr>
        <w:t xml:space="preserve">frastrukture u iznosu </w:t>
      </w:r>
      <w:r w:rsidR="00323036">
        <w:rPr>
          <w:rFonts w:eastAsia="Calibri"/>
          <w:lang w:eastAsia="en-US"/>
        </w:rPr>
        <w:t xml:space="preserve">od </w:t>
      </w:r>
      <w:r>
        <w:rPr>
          <w:rFonts w:eastAsia="Calibri"/>
          <w:lang w:eastAsia="en-US"/>
        </w:rPr>
        <w:t>554.616</w:t>
      </w:r>
      <w:r w:rsidR="00F424ED">
        <w:rPr>
          <w:rFonts w:eastAsia="Calibri"/>
          <w:lang w:eastAsia="en-US"/>
        </w:rPr>
        <w:t xml:space="preserve"> USD i</w:t>
      </w:r>
      <w:r w:rsidRPr="007677A4">
        <w:rPr>
          <w:rFonts w:eastAsia="Calibri"/>
          <w:lang w:eastAsia="en-US"/>
        </w:rPr>
        <w:t xml:space="preserve"> 840.600 EUR</w:t>
      </w:r>
      <w:r w:rsidR="005A3FC7">
        <w:rPr>
          <w:rFonts w:eastAsia="Calibri"/>
          <w:lang w:eastAsia="en-US"/>
        </w:rPr>
        <w:t xml:space="preserve"> te</w:t>
      </w:r>
      <w:r w:rsidR="00F424E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HAKOM</w:t>
      </w:r>
      <w:r w:rsidRPr="007677A4">
        <w:rPr>
          <w:rFonts w:eastAsia="Calibri"/>
          <w:lang w:eastAsia="en-US"/>
        </w:rPr>
        <w:t xml:space="preserve"> </w:t>
      </w:r>
      <w:r w:rsidR="00323036">
        <w:rPr>
          <w:rFonts w:eastAsia="Calibri"/>
          <w:lang w:eastAsia="en-US"/>
        </w:rPr>
        <w:t>u iznosu od</w:t>
      </w:r>
      <w:r w:rsidRPr="007677A4">
        <w:rPr>
          <w:rFonts w:eastAsia="Calibri"/>
          <w:lang w:eastAsia="en-US"/>
        </w:rPr>
        <w:t xml:space="preserve"> 2.819.007 EUR</w:t>
      </w:r>
      <w:r w:rsidR="00F424ED">
        <w:rPr>
          <w:rFonts w:eastAsia="Calibri"/>
          <w:lang w:eastAsia="en-US"/>
        </w:rPr>
        <w:t xml:space="preserve"> </w:t>
      </w:r>
      <w:r w:rsidRPr="007677A4">
        <w:rPr>
          <w:rFonts w:eastAsia="Calibri"/>
          <w:lang w:eastAsia="en-US"/>
        </w:rPr>
        <w:t xml:space="preserve">kao drugo tijelo iz čijeg je djelokruga proizašao predmetni arbitražni spor (zbog postupanja u području poštanskih usluga u razdoblju 2012. - 2014.). </w:t>
      </w:r>
    </w:p>
    <w:p w14:paraId="32068D9B" w14:textId="77777777" w:rsidR="00EC227D" w:rsidRDefault="00EC227D" w:rsidP="00A65998">
      <w:pPr>
        <w:jc w:val="both"/>
        <w:rPr>
          <w:rFonts w:eastAsia="Calibri"/>
          <w:lang w:eastAsia="en-US"/>
        </w:rPr>
      </w:pPr>
    </w:p>
    <w:p w14:paraId="078B635C" w14:textId="0F1B326B" w:rsidR="00CC53DD" w:rsidRPr="00EC227D" w:rsidRDefault="00F97B4E" w:rsidP="00EC227D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Na smanjenje materijalni</w:t>
      </w:r>
      <w:r w:rsidR="00AC5AF2">
        <w:rPr>
          <w:rFonts w:eastAsia="Calibri"/>
          <w:lang w:eastAsia="en-US"/>
        </w:rPr>
        <w:t>h rashoda je utjecalo i</w:t>
      </w:r>
      <w:r w:rsidR="0023641D" w:rsidRPr="0023641D">
        <w:rPr>
          <w:rFonts w:eastAsia="Calibri"/>
          <w:lang w:eastAsia="en-US"/>
        </w:rPr>
        <w:t xml:space="preserve"> </w:t>
      </w:r>
      <w:r w:rsidR="0023641D" w:rsidRPr="006C3F0B">
        <w:rPr>
          <w:rFonts w:eastAsia="Calibri"/>
          <w:lang w:eastAsia="en-US"/>
        </w:rPr>
        <w:t>smanjenje</w:t>
      </w:r>
      <w:r w:rsidR="00EC227D">
        <w:rPr>
          <w:rFonts w:eastAsia="Calibri"/>
          <w:lang w:eastAsia="en-US"/>
        </w:rPr>
        <w:t xml:space="preserve"> </w:t>
      </w:r>
      <w:r w:rsidR="00AC5AF2" w:rsidRPr="00EC227D">
        <w:rPr>
          <w:rFonts w:eastAsia="Calibri"/>
          <w:lang w:eastAsia="en-US"/>
        </w:rPr>
        <w:t>naknada</w:t>
      </w:r>
      <w:r w:rsidRPr="00EC227D">
        <w:rPr>
          <w:rFonts w:eastAsia="Calibri"/>
          <w:lang w:eastAsia="en-US"/>
        </w:rPr>
        <w:t xml:space="preserve"> troškova zaposlenima</w:t>
      </w:r>
      <w:r w:rsidR="00613579" w:rsidRPr="00EC227D">
        <w:rPr>
          <w:rFonts w:eastAsia="Calibri"/>
          <w:lang w:eastAsia="en-US"/>
        </w:rPr>
        <w:t xml:space="preserve"> jer su</w:t>
      </w:r>
      <w:r w:rsidRPr="00EC227D">
        <w:rPr>
          <w:rFonts w:eastAsia="Calibri"/>
          <w:lang w:eastAsia="en-US"/>
        </w:rPr>
        <w:t xml:space="preserve"> </w:t>
      </w:r>
      <w:r w:rsidR="00613579" w:rsidRPr="00EC227D">
        <w:rPr>
          <w:rFonts w:eastAsia="Calibri"/>
          <w:lang w:eastAsia="en-US"/>
        </w:rPr>
        <w:t xml:space="preserve">zbog krize uzrokovane virusom COVID-19 značajno smanjeni troškovi službenih putovanja, a manji su i troškovi stručnog usavršavanja </w:t>
      </w:r>
      <w:r w:rsidR="006C3F0B" w:rsidRPr="00EC227D">
        <w:rPr>
          <w:rFonts w:eastAsia="Calibri"/>
          <w:lang w:eastAsia="en-US"/>
        </w:rPr>
        <w:t>zaposlenika</w:t>
      </w:r>
      <w:r w:rsidR="00A57D14">
        <w:rPr>
          <w:rFonts w:eastAsia="Calibri"/>
          <w:lang w:eastAsia="en-US"/>
        </w:rPr>
        <w:t>.</w:t>
      </w:r>
      <w:r w:rsidR="00EC227D">
        <w:rPr>
          <w:rFonts w:eastAsia="Calibri"/>
          <w:lang w:eastAsia="en-US"/>
        </w:rPr>
        <w:t xml:space="preserve"> </w:t>
      </w:r>
      <w:r w:rsidR="00891FF4">
        <w:rPr>
          <w:rFonts w:eastAsia="Calibri"/>
          <w:lang w:eastAsia="en-US"/>
        </w:rPr>
        <w:t>S</w:t>
      </w:r>
      <w:r w:rsidR="00A57D14">
        <w:rPr>
          <w:rFonts w:eastAsia="Calibri"/>
          <w:lang w:eastAsia="en-US"/>
        </w:rPr>
        <w:t>manjeni su</w:t>
      </w:r>
      <w:r w:rsidR="00EC227D">
        <w:rPr>
          <w:rFonts w:eastAsia="Calibri"/>
          <w:lang w:eastAsia="en-US"/>
        </w:rPr>
        <w:t xml:space="preserve"> </w:t>
      </w:r>
      <w:r w:rsidR="00891FF4">
        <w:rPr>
          <w:rFonts w:eastAsia="Calibri"/>
          <w:lang w:eastAsia="en-US"/>
        </w:rPr>
        <w:t xml:space="preserve">i </w:t>
      </w:r>
      <w:r w:rsidR="00A57D14">
        <w:rPr>
          <w:rFonts w:eastAsia="Calibri"/>
          <w:lang w:eastAsia="en-US"/>
        </w:rPr>
        <w:t>troškovi</w:t>
      </w:r>
      <w:r w:rsidR="00891FF4">
        <w:rPr>
          <w:rFonts w:eastAsia="Calibri"/>
          <w:lang w:eastAsia="en-US"/>
        </w:rPr>
        <w:t xml:space="preserve"> uredskog materijala te</w:t>
      </w:r>
      <w:r w:rsidR="00A57D14">
        <w:rPr>
          <w:rFonts w:eastAsia="Calibri"/>
          <w:lang w:eastAsia="en-US"/>
        </w:rPr>
        <w:t xml:space="preserve"> ostali materijalni rashodi</w:t>
      </w:r>
      <w:r w:rsidR="00CC53DD" w:rsidRPr="00EC227D">
        <w:rPr>
          <w:rFonts w:eastAsia="Calibri"/>
          <w:lang w:eastAsia="en-US"/>
        </w:rPr>
        <w:t>,</w:t>
      </w:r>
      <w:r w:rsidR="00EC227D">
        <w:rPr>
          <w:rFonts w:eastAsia="Calibri"/>
          <w:lang w:eastAsia="en-US"/>
        </w:rPr>
        <w:t xml:space="preserve"> </w:t>
      </w:r>
      <w:r w:rsidR="00A57D14">
        <w:rPr>
          <w:rFonts w:eastAsia="Calibri"/>
          <w:lang w:eastAsia="en-US"/>
        </w:rPr>
        <w:t>rashodi</w:t>
      </w:r>
      <w:r w:rsidR="00606588" w:rsidRPr="00EC227D">
        <w:rPr>
          <w:rFonts w:eastAsia="Calibri"/>
          <w:lang w:eastAsia="en-US"/>
        </w:rPr>
        <w:t xml:space="preserve"> za </w:t>
      </w:r>
      <w:r w:rsidR="00E24CF0" w:rsidRPr="00EC227D">
        <w:rPr>
          <w:rFonts w:eastAsia="Calibri"/>
          <w:lang w:eastAsia="en-US"/>
        </w:rPr>
        <w:t>usluge telefona, pošte i prijevoza</w:t>
      </w:r>
      <w:r w:rsidR="00CC53DD" w:rsidRPr="00EC227D">
        <w:rPr>
          <w:rFonts w:eastAsia="Calibri"/>
          <w:lang w:eastAsia="en-US"/>
        </w:rPr>
        <w:t>,</w:t>
      </w:r>
      <w:r w:rsidR="00EC227D">
        <w:rPr>
          <w:rFonts w:eastAsia="Calibri"/>
          <w:lang w:eastAsia="en-US"/>
        </w:rPr>
        <w:t xml:space="preserve"> </w:t>
      </w:r>
      <w:r w:rsidR="00A57D14">
        <w:rPr>
          <w:rFonts w:eastAsia="Calibri"/>
          <w:lang w:eastAsia="en-US"/>
        </w:rPr>
        <w:t>rashodi</w:t>
      </w:r>
      <w:r w:rsidR="00606588" w:rsidRPr="00EC227D">
        <w:rPr>
          <w:rFonts w:eastAsia="Calibri"/>
          <w:lang w:eastAsia="en-US"/>
        </w:rPr>
        <w:t xml:space="preserve"> za usluge tekućeg i investicijskog održavanja</w:t>
      </w:r>
      <w:r w:rsidR="00CC53DD" w:rsidRPr="00EC227D">
        <w:rPr>
          <w:rFonts w:eastAsia="Calibri"/>
          <w:lang w:eastAsia="en-US"/>
        </w:rPr>
        <w:t>,</w:t>
      </w:r>
      <w:r w:rsidR="00EC227D">
        <w:rPr>
          <w:rFonts w:eastAsia="Calibri"/>
          <w:lang w:eastAsia="en-US"/>
        </w:rPr>
        <w:t xml:space="preserve"> </w:t>
      </w:r>
      <w:r w:rsidR="00A57D14">
        <w:rPr>
          <w:rFonts w:eastAsia="Calibri"/>
          <w:lang w:eastAsia="en-US"/>
        </w:rPr>
        <w:t>rashodi</w:t>
      </w:r>
      <w:r w:rsidR="00C6076F" w:rsidRPr="00EC227D">
        <w:rPr>
          <w:rFonts w:eastAsia="Calibri"/>
          <w:lang w:eastAsia="en-US"/>
        </w:rPr>
        <w:t xml:space="preserve"> za usluge promidžbe i informiranja</w:t>
      </w:r>
      <w:r w:rsidR="00CC53DD" w:rsidRPr="00EC227D">
        <w:rPr>
          <w:rFonts w:eastAsia="Calibri"/>
          <w:lang w:eastAsia="en-US"/>
        </w:rPr>
        <w:t>,</w:t>
      </w:r>
      <w:r w:rsidR="00EC227D">
        <w:rPr>
          <w:rFonts w:eastAsia="Calibri"/>
          <w:lang w:eastAsia="en-US"/>
        </w:rPr>
        <w:t xml:space="preserve"> </w:t>
      </w:r>
      <w:r w:rsidR="00A57D14">
        <w:rPr>
          <w:rFonts w:eastAsia="Calibri"/>
          <w:lang w:eastAsia="en-US"/>
        </w:rPr>
        <w:t>premije</w:t>
      </w:r>
      <w:r w:rsidR="00CC53DD" w:rsidRPr="00EC227D">
        <w:rPr>
          <w:rFonts w:eastAsia="Calibri"/>
          <w:lang w:eastAsia="en-US"/>
        </w:rPr>
        <w:t xml:space="preserve"> osiguranja i dr.</w:t>
      </w:r>
    </w:p>
    <w:p w14:paraId="7BB339E9" w14:textId="77777777" w:rsidR="00EC227D" w:rsidRDefault="00EC227D" w:rsidP="006E7D10">
      <w:pPr>
        <w:suppressAutoHyphens/>
        <w:spacing w:line="259" w:lineRule="auto"/>
        <w:jc w:val="both"/>
        <w:rPr>
          <w:rFonts w:eastAsia="Calibri"/>
          <w:lang w:eastAsia="en-US"/>
        </w:rPr>
      </w:pPr>
    </w:p>
    <w:p w14:paraId="0883D939" w14:textId="0B501C0B" w:rsidR="00295884" w:rsidRDefault="007733CD" w:rsidP="006E7D10">
      <w:pPr>
        <w:suppressAutoHyphens/>
        <w:spacing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Od materijalnih rashoda tijekom 2021. porasle su n</w:t>
      </w:r>
      <w:r w:rsidR="006F1E88">
        <w:rPr>
          <w:rFonts w:eastAsia="Calibri"/>
          <w:lang w:eastAsia="en-US"/>
        </w:rPr>
        <w:t>aknade za prijevoz</w:t>
      </w:r>
      <w:r w:rsidR="00295884">
        <w:rPr>
          <w:rFonts w:eastAsia="Calibri"/>
          <w:lang w:eastAsia="en-US"/>
        </w:rPr>
        <w:t>,</w:t>
      </w:r>
      <w:r>
        <w:rPr>
          <w:rFonts w:eastAsia="Calibri"/>
          <w:lang w:eastAsia="en-US"/>
        </w:rPr>
        <w:t xml:space="preserve"> rashodi </w:t>
      </w:r>
      <w:r w:rsidR="00295884">
        <w:rPr>
          <w:rFonts w:eastAsia="Calibri"/>
          <w:lang w:eastAsia="en-US"/>
        </w:rPr>
        <w:t xml:space="preserve">za energiju </w:t>
      </w:r>
      <w:r w:rsidR="00A73640">
        <w:rPr>
          <w:rFonts w:eastAsia="Calibri"/>
          <w:lang w:eastAsia="en-US"/>
        </w:rPr>
        <w:t>(</w:t>
      </w:r>
      <w:r w:rsidR="00295884">
        <w:rPr>
          <w:rFonts w:eastAsia="Calibri"/>
          <w:lang w:eastAsia="en-US"/>
        </w:rPr>
        <w:t>zbog značajnog poskupljenja opskrbe električnom energijom</w:t>
      </w:r>
      <w:r w:rsidR="00A73640">
        <w:rPr>
          <w:rFonts w:eastAsia="Calibri"/>
          <w:lang w:eastAsia="en-US"/>
        </w:rPr>
        <w:t>)</w:t>
      </w:r>
      <w:r w:rsidR="00295884">
        <w:rPr>
          <w:rFonts w:eastAsia="Calibri"/>
          <w:lang w:eastAsia="en-US"/>
        </w:rPr>
        <w:t xml:space="preserve">, komunalne usluge, zakupnine i najamnine, </w:t>
      </w:r>
      <w:r w:rsidR="00A65998" w:rsidRPr="00EE0A32">
        <w:rPr>
          <w:rFonts w:eastAsia="Calibri"/>
          <w:lang w:eastAsia="en-US"/>
        </w:rPr>
        <w:t>zdravstvene usluge</w:t>
      </w:r>
      <w:r w:rsidR="00A65998">
        <w:rPr>
          <w:rFonts w:eastAsia="Calibri"/>
          <w:lang w:eastAsia="en-US"/>
        </w:rPr>
        <w:t xml:space="preserve"> (sistematski pregledi zaposlenika)</w:t>
      </w:r>
      <w:r w:rsidR="00A65998" w:rsidRPr="00EE0A32">
        <w:rPr>
          <w:rFonts w:eastAsia="Calibri"/>
          <w:lang w:eastAsia="en-US"/>
        </w:rPr>
        <w:t xml:space="preserve">, </w:t>
      </w:r>
      <w:r w:rsidR="00295884">
        <w:rPr>
          <w:rFonts w:eastAsia="Calibri"/>
          <w:lang w:eastAsia="en-US"/>
        </w:rPr>
        <w:t>računalne usluge, ostale usluge, troškovi reprezentacije i dr.</w:t>
      </w:r>
    </w:p>
    <w:p w14:paraId="0BA7DFDA" w14:textId="77777777" w:rsidR="006E7D10" w:rsidRDefault="006E7D10" w:rsidP="00F22950">
      <w:pPr>
        <w:suppressAutoHyphens/>
        <w:spacing w:line="259" w:lineRule="auto"/>
        <w:rPr>
          <w:rFonts w:eastAsia="Calibri"/>
          <w:lang w:eastAsia="en-US"/>
        </w:rPr>
      </w:pPr>
    </w:p>
    <w:p w14:paraId="5A6203DA" w14:textId="36AC023B" w:rsidR="00A65998" w:rsidRDefault="00833082" w:rsidP="00295884">
      <w:pPr>
        <w:suppressAutoHyphens/>
        <w:spacing w:line="259" w:lineRule="auto"/>
        <w:jc w:val="center"/>
      </w:pPr>
      <w:r>
        <w:t>Bilješka 8</w:t>
      </w:r>
      <w:r w:rsidR="00A65998">
        <w:t>.</w:t>
      </w:r>
    </w:p>
    <w:p w14:paraId="7D3A96C9" w14:textId="5DB132B0" w:rsidR="00A65998" w:rsidRDefault="0093370B" w:rsidP="00A65998">
      <w:pPr>
        <w:jc w:val="center"/>
      </w:pPr>
      <w:r>
        <w:t>AOP 191</w:t>
      </w:r>
      <w:r w:rsidR="00A65998">
        <w:t xml:space="preserve"> Financijski rashodi</w:t>
      </w:r>
    </w:p>
    <w:p w14:paraId="19E1ECAF" w14:textId="77777777" w:rsidR="00F22950" w:rsidRDefault="00F22950" w:rsidP="00A65998">
      <w:pPr>
        <w:jc w:val="center"/>
      </w:pPr>
    </w:p>
    <w:p w14:paraId="1A540A51" w14:textId="35B08439" w:rsidR="00A65998" w:rsidRDefault="00A65998" w:rsidP="006E7D10">
      <w:pPr>
        <w:suppressAutoHyphens/>
        <w:spacing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Financijski rashodi su </w:t>
      </w:r>
      <w:r w:rsidRPr="00EE0A32">
        <w:rPr>
          <w:rFonts w:eastAsia="Calibri"/>
          <w:lang w:eastAsia="en-US"/>
        </w:rPr>
        <w:t xml:space="preserve">u promatranom razdoblju ostvareni u iznosu od </w:t>
      </w:r>
      <w:r w:rsidR="0093370B" w:rsidRPr="0093370B">
        <w:rPr>
          <w:rFonts w:eastAsia="Calibri"/>
          <w:lang w:eastAsia="en-US"/>
        </w:rPr>
        <w:t>52.501</w:t>
      </w:r>
      <w:r w:rsidRPr="00EE0A32">
        <w:rPr>
          <w:rFonts w:eastAsia="Calibri"/>
          <w:lang w:eastAsia="en-US"/>
        </w:rPr>
        <w:t xml:space="preserve"> kn, što predstavlja </w:t>
      </w:r>
      <w:r w:rsidR="0093370B">
        <w:rPr>
          <w:rFonts w:eastAsia="Calibri"/>
          <w:lang w:eastAsia="en-US"/>
        </w:rPr>
        <w:t>smanjenje</w:t>
      </w:r>
      <w:r w:rsidRPr="00EE0A32">
        <w:rPr>
          <w:rFonts w:eastAsia="Calibri"/>
          <w:lang w:eastAsia="en-US"/>
        </w:rPr>
        <w:t xml:space="preserve"> u odnosu na ostvarenje u promatranom razdoblju prethodne godine.</w:t>
      </w:r>
      <w:r>
        <w:rPr>
          <w:rFonts w:eastAsia="Calibri"/>
          <w:lang w:eastAsia="en-US"/>
        </w:rPr>
        <w:t xml:space="preserve"> </w:t>
      </w:r>
      <w:r w:rsidR="00197E20">
        <w:rPr>
          <w:rFonts w:eastAsia="Calibri"/>
          <w:lang w:eastAsia="en-US"/>
        </w:rPr>
        <w:t>U</w:t>
      </w:r>
      <w:r w:rsidR="00197E20">
        <w:rPr>
          <w:rFonts w:eastAsia="Calibri"/>
          <w:lang w:eastAsia="en-US"/>
        </w:rPr>
        <w:t xml:space="preserve"> 2020. </w:t>
      </w:r>
      <w:r w:rsidR="00197E20">
        <w:rPr>
          <w:rFonts w:eastAsia="Calibri"/>
          <w:lang w:eastAsia="en-US"/>
        </w:rPr>
        <w:t xml:space="preserve">su </w:t>
      </w:r>
      <w:r w:rsidR="00197E20">
        <w:rPr>
          <w:rFonts w:eastAsia="Calibri"/>
          <w:lang w:eastAsia="en-US"/>
        </w:rPr>
        <w:t xml:space="preserve">bile iskazane značajnije negativne tečajne razlike od onih u 2021. što je vezano uz plaćanje troškova sudskih postupaka u iznosu od </w:t>
      </w:r>
      <w:r w:rsidR="00197E20" w:rsidRPr="00EE0A32">
        <w:rPr>
          <w:rFonts w:eastAsia="Calibri"/>
          <w:lang w:eastAsia="en-US"/>
        </w:rPr>
        <w:t>2.81</w:t>
      </w:r>
      <w:r w:rsidR="00197E20">
        <w:rPr>
          <w:rFonts w:eastAsia="Calibri"/>
          <w:lang w:eastAsia="en-US"/>
        </w:rPr>
        <w:t xml:space="preserve">9.007 EUR </w:t>
      </w:r>
      <w:r w:rsidR="00197E20" w:rsidRPr="00EE0A32">
        <w:rPr>
          <w:rFonts w:eastAsia="Calibri"/>
          <w:lang w:eastAsia="en-US"/>
        </w:rPr>
        <w:t>u kunskoj protuvrijednosti</w:t>
      </w:r>
      <w:r w:rsidR="0088657A">
        <w:rPr>
          <w:rFonts w:eastAsia="Calibri"/>
          <w:lang w:eastAsia="en-US"/>
        </w:rPr>
        <w:t xml:space="preserve"> (veza Bilješka 7.)</w:t>
      </w:r>
      <w:r w:rsidR="00197E20">
        <w:rPr>
          <w:rFonts w:eastAsia="Calibri"/>
          <w:lang w:eastAsia="en-US"/>
        </w:rPr>
        <w:t>.</w:t>
      </w:r>
      <w:r w:rsidR="00197E20">
        <w:rPr>
          <w:rFonts w:eastAsia="Calibri"/>
          <w:lang w:eastAsia="en-US"/>
        </w:rPr>
        <w:t xml:space="preserve"> </w:t>
      </w:r>
    </w:p>
    <w:p w14:paraId="1F4B7983" w14:textId="77777777" w:rsidR="006E7D10" w:rsidRPr="00961300" w:rsidRDefault="006E7D10" w:rsidP="006E7D10">
      <w:pPr>
        <w:suppressAutoHyphens/>
        <w:spacing w:line="259" w:lineRule="auto"/>
        <w:jc w:val="both"/>
        <w:rPr>
          <w:rFonts w:eastAsia="Calibri"/>
          <w:lang w:eastAsia="en-US"/>
        </w:rPr>
      </w:pPr>
    </w:p>
    <w:p w14:paraId="251C7887" w14:textId="77777777" w:rsidR="00A65998" w:rsidRDefault="00A65998" w:rsidP="00A65998">
      <w:pPr>
        <w:jc w:val="center"/>
      </w:pPr>
      <w:r>
        <w:t>Bilješka 9.</w:t>
      </w:r>
    </w:p>
    <w:p w14:paraId="5048A83C" w14:textId="74FBAC4A" w:rsidR="00A65998" w:rsidRDefault="008B548A" w:rsidP="00A65998">
      <w:pPr>
        <w:jc w:val="center"/>
      </w:pPr>
      <w:r>
        <w:t>AOP 344</w:t>
      </w:r>
      <w:r w:rsidR="00A65998">
        <w:t xml:space="preserve"> Rashodi za nabavu nefinancijske imovine</w:t>
      </w:r>
    </w:p>
    <w:p w14:paraId="0B41A9A7" w14:textId="77777777" w:rsidR="00F22950" w:rsidRDefault="00F22950" w:rsidP="00A65998">
      <w:pPr>
        <w:jc w:val="center"/>
      </w:pPr>
    </w:p>
    <w:p w14:paraId="0E6AF3CC" w14:textId="4C1F8A0B" w:rsidR="00A65998" w:rsidRDefault="00A65998" w:rsidP="00A65998">
      <w:pPr>
        <w:jc w:val="both"/>
      </w:pPr>
      <w:r>
        <w:t>Rashodi</w:t>
      </w:r>
      <w:r w:rsidRPr="004B3C38">
        <w:t xml:space="preserve"> </w:t>
      </w:r>
      <w:r>
        <w:t>za nabavu</w:t>
      </w:r>
      <w:r w:rsidRPr="004B3C38">
        <w:t xml:space="preserve"> </w:t>
      </w:r>
      <w:r>
        <w:t>nefinancijske</w:t>
      </w:r>
      <w:r w:rsidRPr="004B3C38">
        <w:t xml:space="preserve"> </w:t>
      </w:r>
      <w:r>
        <w:t>imovine</w:t>
      </w:r>
      <w:r w:rsidRPr="004B3C38">
        <w:t xml:space="preserve"> su ostvareni u iznosu od </w:t>
      </w:r>
      <w:r w:rsidR="008B548A" w:rsidRPr="008B548A">
        <w:t>7.019.654</w:t>
      </w:r>
      <w:r w:rsidRPr="004B3C38">
        <w:t xml:space="preserve"> kn </w:t>
      </w:r>
      <w:r>
        <w:t xml:space="preserve">te se najvećim dijelom odnose na </w:t>
      </w:r>
      <w:r w:rsidR="00F73C9A">
        <w:t>rashode</w:t>
      </w:r>
      <w:r w:rsidR="00F73C9A" w:rsidRPr="00B5336D">
        <w:t xml:space="preserve"> za nabavu mjernih instrumenata i uređaja</w:t>
      </w:r>
      <w:r w:rsidR="00B41724">
        <w:t>, računala i računalne opreme</w:t>
      </w:r>
      <w:r w:rsidR="007759F7">
        <w:t>,</w:t>
      </w:r>
      <w:r w:rsidR="00B5336D">
        <w:t xml:space="preserve"> </w:t>
      </w:r>
      <w:r w:rsidR="00B41724">
        <w:t xml:space="preserve">rashode za dodatna ulaganja na postrojenjima i opremi </w:t>
      </w:r>
      <w:r w:rsidR="00742A15">
        <w:t xml:space="preserve">(nadogradnja diskovnog sustava, poslužitelja, mjerne opreme, sustava tehničke zaštite i dr.) </w:t>
      </w:r>
      <w:r w:rsidR="00B41724">
        <w:t xml:space="preserve">te </w:t>
      </w:r>
      <w:r w:rsidRPr="00D627B2">
        <w:t>rashod</w:t>
      </w:r>
      <w:r>
        <w:t>e</w:t>
      </w:r>
      <w:r w:rsidRPr="00D627B2">
        <w:t xml:space="preserve"> za dodatna ulaganja z</w:t>
      </w:r>
      <w:r>
        <w:t>a ostalu nefinancijsku imovinu (</w:t>
      </w:r>
      <w:r w:rsidRPr="00D627B2">
        <w:t xml:space="preserve">nadogradnja </w:t>
      </w:r>
      <w:r w:rsidR="00B41724">
        <w:t xml:space="preserve">web portala, </w:t>
      </w:r>
      <w:r w:rsidR="00792F11">
        <w:t xml:space="preserve">sustava </w:t>
      </w:r>
      <w:r w:rsidR="00B41724">
        <w:t xml:space="preserve">Navision, </w:t>
      </w:r>
      <w:r w:rsidR="00470BFE">
        <w:t>sustava e-potpis i e-paraf</w:t>
      </w:r>
      <w:r w:rsidR="00470BFE">
        <w:t xml:space="preserve">, </w:t>
      </w:r>
      <w:proofErr w:type="spellStart"/>
      <w:r w:rsidR="009300B1" w:rsidRPr="00D627B2">
        <w:t>Centrix</w:t>
      </w:r>
      <w:proofErr w:type="spellEnd"/>
      <w:r w:rsidR="009300B1" w:rsidRPr="00D627B2">
        <w:t xml:space="preserve"> sustava</w:t>
      </w:r>
      <w:r w:rsidR="009300B1">
        <w:t>,</w:t>
      </w:r>
      <w:r w:rsidR="009300B1" w:rsidRPr="001410D6">
        <w:t xml:space="preserve"> </w:t>
      </w:r>
      <w:r w:rsidR="009300B1">
        <w:t>GIS sustava i portala, sustava za analizu tržišta, sustava e-Operator</w:t>
      </w:r>
      <w:r w:rsidR="009300B1">
        <w:t>,</w:t>
      </w:r>
      <w:r w:rsidR="009300B1">
        <w:t xml:space="preserve"> </w:t>
      </w:r>
      <w:r w:rsidR="00B41724">
        <w:t>aplikacije za analizu kvalitete upravljanja prometom u mr</w:t>
      </w:r>
      <w:r w:rsidR="009300B1">
        <w:t>eži Internet pružatelja usluge</w:t>
      </w:r>
      <w:r w:rsidR="00B41724" w:rsidRPr="00D627B2">
        <w:t xml:space="preserve"> </w:t>
      </w:r>
      <w:r w:rsidR="00661B01">
        <w:t>i dr.</w:t>
      </w:r>
      <w:r>
        <w:t>)</w:t>
      </w:r>
      <w:r w:rsidRPr="00D627B2">
        <w:t>.</w:t>
      </w:r>
      <w:r w:rsidR="00B5336D">
        <w:t xml:space="preserve"> </w:t>
      </w:r>
      <w:r w:rsidR="002D2745">
        <w:t xml:space="preserve"> </w:t>
      </w:r>
    </w:p>
    <w:p w14:paraId="5FCE7DDD" w14:textId="77777777" w:rsidR="00B77742" w:rsidRDefault="00B77742" w:rsidP="00A65998">
      <w:pPr>
        <w:jc w:val="both"/>
      </w:pPr>
    </w:p>
    <w:p w14:paraId="38177F19" w14:textId="77777777" w:rsidR="00A65998" w:rsidRDefault="00A65998" w:rsidP="00A65998">
      <w:pPr>
        <w:jc w:val="both"/>
      </w:pPr>
    </w:p>
    <w:p w14:paraId="648C2FE9" w14:textId="77777777" w:rsidR="00197E20" w:rsidRDefault="00197E20" w:rsidP="00A65998">
      <w:pPr>
        <w:jc w:val="both"/>
      </w:pPr>
    </w:p>
    <w:p w14:paraId="4E6B506C" w14:textId="7DD65191" w:rsidR="00961B70" w:rsidRPr="00BC4466" w:rsidRDefault="00961B70" w:rsidP="00961B70">
      <w:pPr>
        <w:numPr>
          <w:ilvl w:val="0"/>
          <w:numId w:val="11"/>
        </w:numPr>
        <w:suppressAutoHyphens/>
        <w:spacing w:after="160" w:line="259" w:lineRule="auto"/>
        <w:ind w:left="426" w:hanging="426"/>
        <w:contextualSpacing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BILJEŠKE UZ BILANCU</w:t>
      </w:r>
      <w:r w:rsidRPr="000E7D95">
        <w:rPr>
          <w:rFonts w:eastAsia="Calibri"/>
          <w:b/>
          <w:lang w:eastAsia="en-US"/>
        </w:rPr>
        <w:t xml:space="preserve"> (OBRAZAC </w:t>
      </w:r>
      <w:r>
        <w:rPr>
          <w:rFonts w:eastAsia="Calibri"/>
          <w:b/>
          <w:lang w:eastAsia="en-US"/>
        </w:rPr>
        <w:t>BIL</w:t>
      </w:r>
      <w:r w:rsidRPr="000E7D95">
        <w:rPr>
          <w:rFonts w:eastAsia="Calibri"/>
          <w:b/>
          <w:lang w:eastAsia="en-US"/>
        </w:rPr>
        <w:t xml:space="preserve">)   </w:t>
      </w:r>
    </w:p>
    <w:p w14:paraId="57059D30" w14:textId="77777777" w:rsidR="006E7D10" w:rsidRPr="000E7D95" w:rsidRDefault="006E7D10" w:rsidP="00961B70">
      <w:pPr>
        <w:suppressAutoHyphens/>
        <w:spacing w:after="160" w:line="259" w:lineRule="auto"/>
        <w:ind w:left="426"/>
        <w:contextualSpacing/>
        <w:rPr>
          <w:rFonts w:eastAsia="Calibri"/>
          <w:b/>
          <w:lang w:eastAsia="en-US"/>
        </w:rPr>
      </w:pPr>
    </w:p>
    <w:p w14:paraId="43A7D885" w14:textId="77777777" w:rsidR="00961B70" w:rsidRPr="00135061" w:rsidRDefault="00961B70" w:rsidP="00961B70">
      <w:pPr>
        <w:jc w:val="center"/>
      </w:pPr>
      <w:r w:rsidRPr="00833082">
        <w:t>Bilješka 10.</w:t>
      </w:r>
    </w:p>
    <w:p w14:paraId="26396DF0" w14:textId="480910A5" w:rsidR="00135061" w:rsidRDefault="00135061" w:rsidP="00135061">
      <w:pPr>
        <w:jc w:val="center"/>
      </w:pPr>
      <w:r>
        <w:t xml:space="preserve">AOP 003 </w:t>
      </w:r>
      <w:r w:rsidRPr="00135061">
        <w:t>N</w:t>
      </w:r>
      <w:r>
        <w:t>eproizvedena dugotrajna imovina</w:t>
      </w:r>
    </w:p>
    <w:p w14:paraId="7116285B" w14:textId="77777777" w:rsidR="00F22950" w:rsidRDefault="00F22950" w:rsidP="00135061">
      <w:pPr>
        <w:jc w:val="center"/>
      </w:pPr>
    </w:p>
    <w:p w14:paraId="3CB6F54B" w14:textId="66A1328D" w:rsidR="0013500D" w:rsidRDefault="00B972B7" w:rsidP="00F22950">
      <w:pPr>
        <w:suppressAutoHyphens/>
        <w:spacing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Povećanje</w:t>
      </w:r>
      <w:r w:rsidR="00E53520" w:rsidRPr="00135061">
        <w:rPr>
          <w:rFonts w:eastAsia="Calibri"/>
          <w:lang w:eastAsia="en-US"/>
        </w:rPr>
        <w:t xml:space="preserve"> </w:t>
      </w:r>
      <w:r w:rsidR="0013500D">
        <w:rPr>
          <w:rFonts w:eastAsia="Calibri"/>
          <w:lang w:eastAsia="en-US"/>
        </w:rPr>
        <w:t>neproizvedene dugotrajne</w:t>
      </w:r>
      <w:r w:rsidR="00E53520" w:rsidRPr="00135061">
        <w:rPr>
          <w:rFonts w:eastAsia="Calibri"/>
          <w:lang w:eastAsia="en-US"/>
        </w:rPr>
        <w:t xml:space="preserve"> imovine je rezultat </w:t>
      </w:r>
      <w:r>
        <w:rPr>
          <w:rFonts w:eastAsia="Calibri"/>
          <w:lang w:eastAsia="en-US"/>
        </w:rPr>
        <w:t xml:space="preserve">nabave licenci za </w:t>
      </w:r>
      <w:r w:rsidR="00E96CA3">
        <w:rPr>
          <w:rFonts w:eastAsia="Calibri"/>
          <w:lang w:eastAsia="en-US"/>
        </w:rPr>
        <w:t xml:space="preserve">sustave </w:t>
      </w:r>
      <w:r>
        <w:rPr>
          <w:rFonts w:eastAsia="Calibri"/>
          <w:lang w:eastAsia="en-US"/>
        </w:rPr>
        <w:t>HRNet i Centrix. Obračunat je ispravak</w:t>
      </w:r>
      <w:r w:rsidR="00E53520" w:rsidRPr="00135061">
        <w:rPr>
          <w:rFonts w:eastAsia="Calibri"/>
          <w:lang w:eastAsia="en-US"/>
        </w:rPr>
        <w:t xml:space="preserve"> vrijednosti </w:t>
      </w:r>
      <w:r w:rsidR="001E44E7">
        <w:rPr>
          <w:rFonts w:eastAsia="Calibri"/>
          <w:lang w:eastAsia="en-US"/>
        </w:rPr>
        <w:t>n</w:t>
      </w:r>
      <w:r w:rsidR="001E44E7" w:rsidRPr="001E44E7">
        <w:rPr>
          <w:rFonts w:eastAsia="Calibri"/>
          <w:lang w:eastAsia="en-US"/>
        </w:rPr>
        <w:t>eproizveden</w:t>
      </w:r>
      <w:r w:rsidR="001E44E7">
        <w:rPr>
          <w:rFonts w:eastAsia="Calibri"/>
          <w:lang w:eastAsia="en-US"/>
        </w:rPr>
        <w:t>e</w:t>
      </w:r>
      <w:r w:rsidR="001E44E7" w:rsidRPr="001E44E7">
        <w:rPr>
          <w:rFonts w:eastAsia="Calibri"/>
          <w:lang w:eastAsia="en-US"/>
        </w:rPr>
        <w:t xml:space="preserve"> dugotrajn</w:t>
      </w:r>
      <w:r w:rsidR="001E44E7">
        <w:rPr>
          <w:rFonts w:eastAsia="Calibri"/>
          <w:lang w:eastAsia="en-US"/>
        </w:rPr>
        <w:t>e imovine</w:t>
      </w:r>
      <w:r w:rsidR="001E44E7" w:rsidRPr="001E44E7">
        <w:rPr>
          <w:rFonts w:eastAsia="Calibri"/>
          <w:lang w:eastAsia="en-US"/>
        </w:rPr>
        <w:t xml:space="preserve"> </w:t>
      </w:r>
      <w:r w:rsidR="00E53520" w:rsidRPr="00135061">
        <w:rPr>
          <w:rFonts w:eastAsia="Calibri"/>
          <w:lang w:eastAsia="en-US"/>
        </w:rPr>
        <w:t>za 20</w:t>
      </w:r>
      <w:r w:rsidR="0013500D">
        <w:rPr>
          <w:rFonts w:eastAsia="Calibri"/>
          <w:lang w:eastAsia="en-US"/>
        </w:rPr>
        <w:t>2</w:t>
      </w:r>
      <w:r>
        <w:rPr>
          <w:rFonts w:eastAsia="Calibri"/>
          <w:lang w:eastAsia="en-US"/>
        </w:rPr>
        <w:t>1</w:t>
      </w:r>
      <w:r w:rsidR="00E53520" w:rsidRPr="00135061">
        <w:rPr>
          <w:rFonts w:eastAsia="Calibri"/>
          <w:lang w:eastAsia="en-US"/>
        </w:rPr>
        <w:t>.</w:t>
      </w:r>
    </w:p>
    <w:p w14:paraId="2D815E26" w14:textId="77777777" w:rsidR="006E7D10" w:rsidRDefault="006E7D10" w:rsidP="00797534">
      <w:pPr>
        <w:suppressAutoHyphens/>
        <w:spacing w:line="259" w:lineRule="auto"/>
        <w:rPr>
          <w:rFonts w:eastAsia="Calibri"/>
          <w:lang w:eastAsia="en-US"/>
        </w:rPr>
      </w:pPr>
    </w:p>
    <w:p w14:paraId="720F663D" w14:textId="27CE2409" w:rsidR="00000CB3" w:rsidRPr="00135061" w:rsidRDefault="00000CB3" w:rsidP="00000CB3">
      <w:pPr>
        <w:jc w:val="center"/>
      </w:pPr>
      <w:r w:rsidRPr="00135061">
        <w:t>Bilješka 1</w:t>
      </w:r>
      <w:r>
        <w:t>1</w:t>
      </w:r>
      <w:r w:rsidRPr="00135061">
        <w:t>.</w:t>
      </w:r>
    </w:p>
    <w:p w14:paraId="53D2306A" w14:textId="377E1EA9" w:rsidR="00000CB3" w:rsidRDefault="00000CB3" w:rsidP="00000CB3">
      <w:pPr>
        <w:jc w:val="center"/>
      </w:pPr>
      <w:r>
        <w:t xml:space="preserve">AOP </w:t>
      </w:r>
      <w:r w:rsidR="009B433A">
        <w:t>007</w:t>
      </w:r>
      <w:r>
        <w:t xml:space="preserve"> </w:t>
      </w:r>
      <w:r w:rsidR="009B433A">
        <w:t>Proizvedena dugotrajna imovina</w:t>
      </w:r>
    </w:p>
    <w:p w14:paraId="7A173034" w14:textId="77777777" w:rsidR="00F22950" w:rsidRDefault="00F22950" w:rsidP="00000CB3">
      <w:pPr>
        <w:jc w:val="center"/>
      </w:pPr>
    </w:p>
    <w:p w14:paraId="08A6E87F" w14:textId="68E5D547" w:rsidR="00CD3E4A" w:rsidRDefault="001933DB" w:rsidP="00102D87">
      <w:pPr>
        <w:suppressAutoHyphens/>
        <w:spacing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Tijekom 2021.</w:t>
      </w:r>
      <w:r w:rsidR="00000CB3" w:rsidRPr="00135061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nabavljena su</w:t>
      </w:r>
      <w:r w:rsidR="007D069D">
        <w:rPr>
          <w:rFonts w:eastAsia="Calibri"/>
          <w:lang w:eastAsia="en-US"/>
        </w:rPr>
        <w:t xml:space="preserve"> </w:t>
      </w:r>
      <w:r w:rsidR="002A7849">
        <w:rPr>
          <w:rFonts w:eastAsia="Calibri"/>
          <w:lang w:eastAsia="en-US"/>
        </w:rPr>
        <w:t xml:space="preserve">nova </w:t>
      </w:r>
      <w:r w:rsidR="007D069D">
        <w:rPr>
          <w:rFonts w:eastAsia="Calibri"/>
          <w:lang w:eastAsia="en-US"/>
        </w:rPr>
        <w:t>računala i računalna oprema, pokretna komunikacijska oprema, oprema</w:t>
      </w:r>
      <w:r w:rsidR="00E278F9">
        <w:rPr>
          <w:rFonts w:eastAsia="Calibri"/>
          <w:lang w:eastAsia="en-US"/>
        </w:rPr>
        <w:t xml:space="preserve"> za održavanje i zaštitu, </w:t>
      </w:r>
      <w:r w:rsidR="007D069D">
        <w:rPr>
          <w:rFonts w:eastAsia="Calibri"/>
          <w:lang w:eastAsia="en-US"/>
        </w:rPr>
        <w:t>mjerni</w:t>
      </w:r>
      <w:r w:rsidR="00B23348">
        <w:rPr>
          <w:rFonts w:eastAsia="Calibri"/>
          <w:lang w:eastAsia="en-US"/>
        </w:rPr>
        <w:t xml:space="preserve"> uređaj</w:t>
      </w:r>
      <w:r w:rsidR="007D069D">
        <w:rPr>
          <w:rFonts w:eastAsia="Calibri"/>
          <w:lang w:eastAsia="en-US"/>
        </w:rPr>
        <w:t>i, računalni</w:t>
      </w:r>
      <w:r w:rsidR="00E278F9">
        <w:rPr>
          <w:rFonts w:eastAsia="Calibri"/>
          <w:lang w:eastAsia="en-US"/>
        </w:rPr>
        <w:t xml:space="preserve"> program</w:t>
      </w:r>
      <w:r w:rsidR="007D069D">
        <w:rPr>
          <w:rFonts w:eastAsia="Calibri"/>
          <w:lang w:eastAsia="en-US"/>
        </w:rPr>
        <w:t>i i uredski namještaj</w:t>
      </w:r>
      <w:r w:rsidR="00E278F9">
        <w:rPr>
          <w:rFonts w:eastAsia="Calibri"/>
          <w:lang w:eastAsia="en-US"/>
        </w:rPr>
        <w:t xml:space="preserve">. </w:t>
      </w:r>
      <w:r w:rsidR="006768EA">
        <w:rPr>
          <w:rFonts w:eastAsia="Calibri"/>
          <w:lang w:eastAsia="en-US"/>
        </w:rPr>
        <w:t xml:space="preserve">Dio </w:t>
      </w:r>
      <w:r w:rsidR="000F29CA">
        <w:rPr>
          <w:rFonts w:eastAsia="Calibri"/>
          <w:lang w:eastAsia="en-US"/>
        </w:rPr>
        <w:t xml:space="preserve">stare </w:t>
      </w:r>
      <w:r w:rsidR="006768EA">
        <w:rPr>
          <w:rFonts w:eastAsia="Calibri"/>
          <w:lang w:eastAsia="en-US"/>
        </w:rPr>
        <w:t>pro</w:t>
      </w:r>
      <w:r w:rsidR="000F29CA">
        <w:rPr>
          <w:rFonts w:eastAsia="Calibri"/>
          <w:lang w:eastAsia="en-US"/>
        </w:rPr>
        <w:t>izvedene dugotrajne imovine koja</w:t>
      </w:r>
      <w:r w:rsidR="006768EA">
        <w:rPr>
          <w:rFonts w:eastAsia="Calibri"/>
          <w:lang w:eastAsia="en-US"/>
        </w:rPr>
        <w:t xml:space="preserve"> je zamijenjen</w:t>
      </w:r>
      <w:r w:rsidR="000F29CA">
        <w:rPr>
          <w:rFonts w:eastAsia="Calibri"/>
          <w:lang w:eastAsia="en-US"/>
        </w:rPr>
        <w:t>a</w:t>
      </w:r>
      <w:r w:rsidR="006768EA">
        <w:rPr>
          <w:rFonts w:eastAsia="Calibri"/>
          <w:lang w:eastAsia="en-US"/>
        </w:rPr>
        <w:t xml:space="preserve"> novom je </w:t>
      </w:r>
      <w:r w:rsidR="00F7285C">
        <w:rPr>
          <w:rFonts w:eastAsia="Calibri"/>
          <w:lang w:eastAsia="en-US"/>
        </w:rPr>
        <w:t xml:space="preserve">odlukama </w:t>
      </w:r>
      <w:r w:rsidR="006768EA">
        <w:rPr>
          <w:rFonts w:eastAsia="Calibri"/>
          <w:lang w:eastAsia="en-US"/>
        </w:rPr>
        <w:t>rashodovan</w:t>
      </w:r>
      <w:r w:rsidR="00561E27">
        <w:rPr>
          <w:rFonts w:eastAsia="Calibri"/>
          <w:lang w:eastAsia="en-US"/>
        </w:rPr>
        <w:t xml:space="preserve"> i </w:t>
      </w:r>
      <w:r w:rsidR="00CD3E4A">
        <w:rPr>
          <w:rFonts w:eastAsia="Calibri"/>
          <w:lang w:eastAsia="en-US"/>
        </w:rPr>
        <w:t>isknjižen iz poslovnih knjiga temeljem potvrda o ekološkom zbrinjavanju</w:t>
      </w:r>
      <w:r w:rsidR="008A49AC">
        <w:rPr>
          <w:rFonts w:eastAsia="Calibri"/>
          <w:lang w:eastAsia="en-US"/>
        </w:rPr>
        <w:t xml:space="preserve"> i</w:t>
      </w:r>
      <w:r w:rsidR="00561E27">
        <w:rPr>
          <w:rFonts w:eastAsia="Calibri"/>
          <w:lang w:eastAsia="en-US"/>
        </w:rPr>
        <w:t xml:space="preserve"> </w:t>
      </w:r>
      <w:r w:rsidR="002F2EC2">
        <w:rPr>
          <w:rFonts w:eastAsia="Calibri"/>
          <w:lang w:eastAsia="en-US"/>
        </w:rPr>
        <w:t>primitku</w:t>
      </w:r>
      <w:r w:rsidR="008A49AC">
        <w:rPr>
          <w:rFonts w:eastAsia="Calibri"/>
          <w:lang w:eastAsia="en-US"/>
        </w:rPr>
        <w:t xml:space="preserve"> u naravi te</w:t>
      </w:r>
      <w:r w:rsidR="00561E27">
        <w:rPr>
          <w:rFonts w:eastAsia="Calibri"/>
          <w:lang w:eastAsia="en-US"/>
        </w:rPr>
        <w:t xml:space="preserve"> </w:t>
      </w:r>
      <w:r w:rsidR="005D654D">
        <w:rPr>
          <w:rFonts w:eastAsia="Calibri"/>
          <w:lang w:eastAsia="en-US"/>
        </w:rPr>
        <w:t>primopredajnog zapisnika o prijenosu</w:t>
      </w:r>
      <w:r w:rsidR="00CD3E4A">
        <w:rPr>
          <w:rFonts w:eastAsia="Calibri"/>
          <w:lang w:eastAsia="en-US"/>
        </w:rPr>
        <w:t xml:space="preserve"> nefinancijske imovine</w:t>
      </w:r>
      <w:r w:rsidR="00561E27">
        <w:rPr>
          <w:rFonts w:eastAsia="Calibri"/>
          <w:lang w:eastAsia="en-US"/>
        </w:rPr>
        <w:t xml:space="preserve"> drugom proračunskom korisniku</w:t>
      </w:r>
      <w:r w:rsidR="006768EA">
        <w:rPr>
          <w:rFonts w:eastAsia="Calibri"/>
          <w:lang w:eastAsia="en-US"/>
        </w:rPr>
        <w:t xml:space="preserve">. </w:t>
      </w:r>
    </w:p>
    <w:p w14:paraId="4814CBF5" w14:textId="35FC3AB5" w:rsidR="00CD3E4A" w:rsidRDefault="001F2467" w:rsidP="00FF01D4">
      <w:pPr>
        <w:suppressAutoHyphens/>
        <w:spacing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Obračunat je ispravak vrijednosti </w:t>
      </w:r>
      <w:r w:rsidR="001E44E7" w:rsidRPr="001E44E7">
        <w:rPr>
          <w:rFonts w:eastAsia="Calibri"/>
          <w:lang w:eastAsia="en-US"/>
        </w:rPr>
        <w:t>proizveden</w:t>
      </w:r>
      <w:r w:rsidR="001E44E7">
        <w:rPr>
          <w:rFonts w:eastAsia="Calibri"/>
          <w:lang w:eastAsia="en-US"/>
        </w:rPr>
        <w:t>e</w:t>
      </w:r>
      <w:r w:rsidR="001E44E7" w:rsidRPr="001E44E7">
        <w:rPr>
          <w:rFonts w:eastAsia="Calibri"/>
          <w:lang w:eastAsia="en-US"/>
        </w:rPr>
        <w:t xml:space="preserve"> dugotrajn</w:t>
      </w:r>
      <w:r w:rsidR="001E44E7">
        <w:rPr>
          <w:rFonts w:eastAsia="Calibri"/>
          <w:lang w:eastAsia="en-US"/>
        </w:rPr>
        <w:t>e</w:t>
      </w:r>
      <w:r w:rsidR="001E44E7" w:rsidRPr="001E44E7">
        <w:rPr>
          <w:rFonts w:eastAsia="Calibri"/>
          <w:lang w:eastAsia="en-US"/>
        </w:rPr>
        <w:t xml:space="preserve"> imovin</w:t>
      </w:r>
      <w:r w:rsidR="001E44E7">
        <w:rPr>
          <w:rFonts w:eastAsia="Calibri"/>
          <w:lang w:eastAsia="en-US"/>
        </w:rPr>
        <w:t>e</w:t>
      </w:r>
      <w:r w:rsidR="001E44E7" w:rsidRPr="001E44E7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za 202</w:t>
      </w:r>
      <w:r w:rsidR="00B972B7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.</w:t>
      </w:r>
      <w:r w:rsidR="002A7849">
        <w:rPr>
          <w:rFonts w:eastAsia="Calibri"/>
          <w:lang w:eastAsia="en-US"/>
        </w:rPr>
        <w:t xml:space="preserve"> </w:t>
      </w:r>
    </w:p>
    <w:p w14:paraId="0E2B22BC" w14:textId="77777777" w:rsidR="00C42025" w:rsidRDefault="00C42025" w:rsidP="00FF01D4">
      <w:pPr>
        <w:suppressAutoHyphens/>
        <w:spacing w:line="259" w:lineRule="auto"/>
        <w:jc w:val="both"/>
        <w:rPr>
          <w:rFonts w:eastAsia="Calibri"/>
          <w:lang w:eastAsia="en-US"/>
        </w:rPr>
      </w:pPr>
    </w:p>
    <w:p w14:paraId="27E03760" w14:textId="77777777" w:rsidR="00C42025" w:rsidRDefault="00C42025" w:rsidP="00FF01D4">
      <w:pPr>
        <w:suppressAutoHyphens/>
        <w:spacing w:line="259" w:lineRule="auto"/>
        <w:jc w:val="both"/>
        <w:rPr>
          <w:rFonts w:eastAsia="Calibri"/>
          <w:lang w:eastAsia="en-US"/>
        </w:rPr>
      </w:pPr>
    </w:p>
    <w:p w14:paraId="5FB936BD" w14:textId="77777777" w:rsidR="00C42025" w:rsidRDefault="00C42025" w:rsidP="00FF01D4">
      <w:pPr>
        <w:suppressAutoHyphens/>
        <w:spacing w:line="259" w:lineRule="auto"/>
        <w:jc w:val="both"/>
        <w:rPr>
          <w:rFonts w:eastAsia="Calibri"/>
          <w:lang w:eastAsia="en-US"/>
        </w:rPr>
      </w:pPr>
    </w:p>
    <w:p w14:paraId="335396C3" w14:textId="37BFAB94" w:rsidR="001963A7" w:rsidRDefault="001963A7" w:rsidP="00102D87">
      <w:pPr>
        <w:jc w:val="center"/>
      </w:pPr>
      <w:r>
        <w:lastRenderedPageBreak/>
        <w:t>Bilješka 12.</w:t>
      </w:r>
    </w:p>
    <w:p w14:paraId="25C2A84F" w14:textId="1E743B39" w:rsidR="001963A7" w:rsidRDefault="001963A7" w:rsidP="00102D87">
      <w:pPr>
        <w:jc w:val="center"/>
      </w:pPr>
      <w:r>
        <w:t xml:space="preserve">AOP 051 </w:t>
      </w:r>
      <w:r w:rsidRPr="001963A7">
        <w:t>Dugotrajna ne</w:t>
      </w:r>
      <w:r>
        <w:t>financijska imovina u pripremi</w:t>
      </w:r>
    </w:p>
    <w:p w14:paraId="669C630D" w14:textId="77777777" w:rsidR="00F22950" w:rsidRDefault="00F22950" w:rsidP="00102D87">
      <w:pPr>
        <w:jc w:val="center"/>
      </w:pPr>
    </w:p>
    <w:p w14:paraId="6C10C096" w14:textId="45CE2F7B" w:rsidR="001963A7" w:rsidRDefault="001963A7" w:rsidP="001963A7">
      <w:pPr>
        <w:jc w:val="both"/>
      </w:pPr>
      <w:r>
        <w:t xml:space="preserve">Dugotrajna nefinancijska imovina u pripremi je na dan 31. prosinca </w:t>
      </w:r>
      <w:r w:rsidR="0086028F">
        <w:t xml:space="preserve">2021. </w:t>
      </w:r>
      <w:r>
        <w:t xml:space="preserve">evidentirana u iznosu od </w:t>
      </w:r>
      <w:r w:rsidRPr="001963A7">
        <w:t>1.331.480</w:t>
      </w:r>
      <w:r>
        <w:t xml:space="preserve"> kn:</w:t>
      </w:r>
    </w:p>
    <w:p w14:paraId="2DA454E3" w14:textId="3248AD9D" w:rsidR="001963A7" w:rsidRDefault="001963A7" w:rsidP="001963A7">
      <w:pPr>
        <w:pStyle w:val="ListParagraph"/>
        <w:numPr>
          <w:ilvl w:val="0"/>
          <w:numId w:val="15"/>
        </w:numPr>
        <w:jc w:val="both"/>
      </w:pPr>
      <w:r w:rsidRPr="001963A7">
        <w:t>582.875</w:t>
      </w:r>
      <w:r>
        <w:t xml:space="preserve"> kn – građevinski objekti u pripremi (izrada projektne dokumentacije za </w:t>
      </w:r>
      <w:r w:rsidR="00473B48">
        <w:t>kontrolno-mjernu postaju (</w:t>
      </w:r>
      <w:r>
        <w:t>KMP</w:t>
      </w:r>
      <w:r w:rsidR="00473B48">
        <w:t>)</w:t>
      </w:r>
      <w:r w:rsidRPr="001963A7">
        <w:t xml:space="preserve"> Bilogor</w:t>
      </w:r>
      <w:r w:rsidR="0029432E">
        <w:t>a</w:t>
      </w:r>
      <w:r>
        <w:t>; izrada g</w:t>
      </w:r>
      <w:r w:rsidR="0029432E">
        <w:t>lavnog projekta za KMP Osorščica</w:t>
      </w:r>
      <w:r>
        <w:t>; izgradnja elektroenergetskih objekata za priključenje KMP-a Veliki Bokolj na elektroenergetsku distribucijsku mrežu)</w:t>
      </w:r>
      <w:r w:rsidR="00086CE7">
        <w:t>,</w:t>
      </w:r>
    </w:p>
    <w:p w14:paraId="2284A754" w14:textId="1BF516D4" w:rsidR="001963A7" w:rsidRDefault="001963A7" w:rsidP="00C92247">
      <w:pPr>
        <w:pStyle w:val="ListParagraph"/>
        <w:numPr>
          <w:ilvl w:val="0"/>
          <w:numId w:val="15"/>
        </w:numPr>
        <w:jc w:val="both"/>
      </w:pPr>
      <w:r w:rsidRPr="001963A7">
        <w:t>527.755</w:t>
      </w:r>
      <w:r>
        <w:t xml:space="preserve"> kn – postrojenja i oprema u pripremi</w:t>
      </w:r>
      <w:r w:rsidR="00C92247">
        <w:t xml:space="preserve"> (izrada elaborata za KMP</w:t>
      </w:r>
      <w:r w:rsidR="00C92247" w:rsidRPr="00C92247">
        <w:t xml:space="preserve"> Osorščic</w:t>
      </w:r>
      <w:r w:rsidR="0029432E">
        <w:t>a</w:t>
      </w:r>
      <w:r w:rsidR="00C92247">
        <w:t>;</w:t>
      </w:r>
      <w:r w:rsidR="00C92247" w:rsidRPr="00C92247">
        <w:t xml:space="preserve"> </w:t>
      </w:r>
      <w:r w:rsidR="00C92247">
        <w:t>a</w:t>
      </w:r>
      <w:r w:rsidR="00C92247" w:rsidRPr="00C92247">
        <w:t xml:space="preserve">ntenski stup za </w:t>
      </w:r>
      <w:r w:rsidR="002438BF">
        <w:t>HAKOM središte</w:t>
      </w:r>
      <w:r w:rsidR="00C92247" w:rsidRPr="00C92247">
        <w:t xml:space="preserve"> Split</w:t>
      </w:r>
      <w:r w:rsidR="00C92247">
        <w:t>; a</w:t>
      </w:r>
      <w:r w:rsidR="00C92247" w:rsidRPr="00C92247">
        <w:t xml:space="preserve">ntenski stup </w:t>
      </w:r>
      <w:r w:rsidR="001E44EE">
        <w:t>za KMP Bilogora</w:t>
      </w:r>
      <w:r w:rsidR="00C92247">
        <w:t>)</w:t>
      </w:r>
      <w:r w:rsidR="00086CE7">
        <w:t>,</w:t>
      </w:r>
    </w:p>
    <w:p w14:paraId="29E8D5A7" w14:textId="6BC59293" w:rsidR="001963A7" w:rsidRDefault="001963A7" w:rsidP="00086CE7">
      <w:pPr>
        <w:pStyle w:val="ListParagraph"/>
        <w:numPr>
          <w:ilvl w:val="0"/>
          <w:numId w:val="15"/>
        </w:numPr>
        <w:jc w:val="both"/>
      </w:pPr>
      <w:r w:rsidRPr="001963A7">
        <w:t>220.850</w:t>
      </w:r>
      <w:r>
        <w:t xml:space="preserve"> kn – o</w:t>
      </w:r>
      <w:r w:rsidRPr="001963A7">
        <w:t>stala</w:t>
      </w:r>
      <w:r>
        <w:t xml:space="preserve"> </w:t>
      </w:r>
      <w:r w:rsidRPr="001963A7">
        <w:t>nematerijalna proizvedena imovina u pripremi</w:t>
      </w:r>
      <w:r w:rsidR="00086CE7">
        <w:t xml:space="preserve"> (n</w:t>
      </w:r>
      <w:r w:rsidR="00086CE7" w:rsidRPr="00086CE7">
        <w:t>abava Sustava c</w:t>
      </w:r>
      <w:r w:rsidR="00086CE7">
        <w:t xml:space="preserve">entralne administrativne baze </w:t>
      </w:r>
      <w:r w:rsidR="00086CE7" w:rsidRPr="00086CE7">
        <w:t>prenesenih brojeva (CABP sustav)</w:t>
      </w:r>
      <w:r w:rsidR="00086CE7">
        <w:t xml:space="preserve"> – 1. faza).</w:t>
      </w:r>
    </w:p>
    <w:p w14:paraId="2F4E4859" w14:textId="77777777" w:rsidR="005F1887" w:rsidRDefault="005F1887" w:rsidP="00797534"/>
    <w:p w14:paraId="14ADDEC1" w14:textId="2802B5BE" w:rsidR="00102D87" w:rsidRPr="00135061" w:rsidRDefault="00102D87" w:rsidP="00102D87">
      <w:pPr>
        <w:jc w:val="center"/>
      </w:pPr>
      <w:r w:rsidRPr="00135061">
        <w:t>Bilješka 1</w:t>
      </w:r>
      <w:r w:rsidR="00797534">
        <w:t>3</w:t>
      </w:r>
      <w:r w:rsidRPr="00135061">
        <w:t>.</w:t>
      </w:r>
    </w:p>
    <w:p w14:paraId="6D475552" w14:textId="0BE4955C" w:rsidR="00102D87" w:rsidRDefault="006D77A3" w:rsidP="00102D87">
      <w:pPr>
        <w:jc w:val="center"/>
      </w:pPr>
      <w:r>
        <w:t>AOP 064</w:t>
      </w:r>
      <w:r w:rsidR="00102D87">
        <w:t xml:space="preserve"> </w:t>
      </w:r>
      <w:r>
        <w:t>Novac u banci i blagajni</w:t>
      </w:r>
    </w:p>
    <w:p w14:paraId="1890D5D9" w14:textId="77777777" w:rsidR="00F22950" w:rsidRDefault="00F22950" w:rsidP="00102D87">
      <w:pPr>
        <w:jc w:val="center"/>
      </w:pPr>
    </w:p>
    <w:p w14:paraId="1F7B86A4" w14:textId="5071D190" w:rsidR="00102D87" w:rsidRDefault="00E53520" w:rsidP="00195F79">
      <w:pPr>
        <w:suppressAutoHyphens/>
        <w:spacing w:line="259" w:lineRule="auto"/>
        <w:jc w:val="both"/>
        <w:rPr>
          <w:rFonts w:eastAsia="Calibri"/>
          <w:lang w:eastAsia="en-US"/>
        </w:rPr>
      </w:pPr>
      <w:r w:rsidRPr="00135061">
        <w:rPr>
          <w:rFonts w:eastAsia="Calibri"/>
          <w:lang w:eastAsia="en-US"/>
        </w:rPr>
        <w:t xml:space="preserve">Strukturu financijske imovine u ukupnom iznosu od </w:t>
      </w:r>
      <w:r w:rsidR="00E762E9" w:rsidRPr="00E762E9">
        <w:rPr>
          <w:rFonts w:eastAsia="Calibri"/>
          <w:lang w:eastAsia="en-US"/>
        </w:rPr>
        <w:t>76.936.429</w:t>
      </w:r>
      <w:r w:rsidRPr="00135061">
        <w:rPr>
          <w:rFonts w:eastAsia="Calibri"/>
          <w:lang w:eastAsia="en-US"/>
        </w:rPr>
        <w:t xml:space="preserve"> kn </w:t>
      </w:r>
      <w:r w:rsidR="00E762E9">
        <w:rPr>
          <w:rFonts w:eastAsia="Calibri"/>
          <w:lang w:eastAsia="en-US"/>
        </w:rPr>
        <w:t xml:space="preserve">(AOP 063) </w:t>
      </w:r>
      <w:r w:rsidRPr="00135061">
        <w:rPr>
          <w:rFonts w:eastAsia="Calibri"/>
          <w:lang w:eastAsia="en-US"/>
        </w:rPr>
        <w:t xml:space="preserve">najvećim dijelom čini novac na računu kod tuzemnih poslovnih banaka </w:t>
      </w:r>
      <w:r w:rsidR="00E762E9">
        <w:rPr>
          <w:rFonts w:eastAsia="Calibri"/>
          <w:lang w:eastAsia="en-US"/>
        </w:rPr>
        <w:t xml:space="preserve">i u blagajni </w:t>
      </w:r>
      <w:r w:rsidRPr="00135061">
        <w:rPr>
          <w:rFonts w:eastAsia="Calibri"/>
          <w:lang w:eastAsia="en-US"/>
        </w:rPr>
        <w:t xml:space="preserve">u iznosu od </w:t>
      </w:r>
      <w:r w:rsidR="00E762E9" w:rsidRPr="00E762E9">
        <w:rPr>
          <w:rFonts w:eastAsia="Calibri"/>
          <w:lang w:eastAsia="en-US"/>
        </w:rPr>
        <w:t>46.528.057</w:t>
      </w:r>
      <w:r w:rsidRPr="00135061">
        <w:rPr>
          <w:rFonts w:eastAsia="Calibri"/>
          <w:lang w:eastAsia="en-US"/>
        </w:rPr>
        <w:t xml:space="preserve"> kn. </w:t>
      </w:r>
      <w:r w:rsidR="00E762E9">
        <w:rPr>
          <w:rFonts w:eastAsia="Calibri"/>
          <w:lang w:eastAsia="en-US"/>
        </w:rPr>
        <w:t>Povećanje</w:t>
      </w:r>
      <w:r w:rsidR="006079FC">
        <w:rPr>
          <w:rFonts w:eastAsia="Calibri"/>
          <w:lang w:eastAsia="en-US"/>
        </w:rPr>
        <w:t xml:space="preserve"> novca na žiro-računu u odnosu na prethodno razdoblje rezultat je</w:t>
      </w:r>
      <w:r w:rsidR="00E762E9">
        <w:rPr>
          <w:rFonts w:eastAsia="Calibri"/>
          <w:lang w:eastAsia="en-US"/>
        </w:rPr>
        <w:t xml:space="preserve"> naplate potraživanja </w:t>
      </w:r>
      <w:r w:rsidR="00E762E9" w:rsidRPr="00E762E9">
        <w:rPr>
          <w:rFonts w:eastAsia="Calibri"/>
          <w:lang w:eastAsia="en-US"/>
        </w:rPr>
        <w:t>za prihode poslovanja</w:t>
      </w:r>
      <w:r w:rsidR="00361739">
        <w:rPr>
          <w:rFonts w:eastAsia="Calibri"/>
          <w:lang w:eastAsia="en-US"/>
        </w:rPr>
        <w:t xml:space="preserve"> i neznatnih </w:t>
      </w:r>
      <w:r w:rsidR="00361739" w:rsidRPr="00361739">
        <w:rPr>
          <w:rFonts w:eastAsia="Calibri"/>
          <w:lang w:eastAsia="en-US"/>
        </w:rPr>
        <w:t>troškova sudskih postupaka</w:t>
      </w:r>
      <w:r w:rsidR="00361739">
        <w:rPr>
          <w:rFonts w:eastAsia="Calibri"/>
          <w:lang w:eastAsia="en-US"/>
        </w:rPr>
        <w:t xml:space="preserve"> koji su u 2020</w:t>
      </w:r>
      <w:r w:rsidR="006079FC">
        <w:rPr>
          <w:rFonts w:eastAsia="Calibri"/>
          <w:lang w:eastAsia="en-US"/>
        </w:rPr>
        <w:t xml:space="preserve">. </w:t>
      </w:r>
      <w:r w:rsidR="00361739">
        <w:rPr>
          <w:rFonts w:eastAsia="Calibri"/>
          <w:lang w:eastAsia="en-US"/>
        </w:rPr>
        <w:t>značajno utjecali na smanjenje novca na žiro-računu.</w:t>
      </w:r>
    </w:p>
    <w:p w14:paraId="693A5685" w14:textId="77777777" w:rsidR="005F1887" w:rsidRDefault="005F1887" w:rsidP="00195F79">
      <w:pPr>
        <w:suppressAutoHyphens/>
        <w:spacing w:line="259" w:lineRule="auto"/>
        <w:jc w:val="both"/>
        <w:rPr>
          <w:rFonts w:eastAsia="Calibri"/>
          <w:lang w:eastAsia="en-US"/>
        </w:rPr>
      </w:pPr>
    </w:p>
    <w:p w14:paraId="0C0037B3" w14:textId="5F2362AD" w:rsidR="006D77A3" w:rsidRPr="00135061" w:rsidRDefault="006D77A3" w:rsidP="006D77A3">
      <w:pPr>
        <w:jc w:val="center"/>
      </w:pPr>
      <w:r w:rsidRPr="00135061">
        <w:t>Bilješka 1</w:t>
      </w:r>
      <w:r>
        <w:t>4</w:t>
      </w:r>
      <w:r w:rsidRPr="00135061">
        <w:t>.</w:t>
      </w:r>
    </w:p>
    <w:p w14:paraId="7E16247F" w14:textId="77777777" w:rsidR="005F1887" w:rsidRDefault="006D77A3" w:rsidP="006D77A3">
      <w:pPr>
        <w:jc w:val="center"/>
      </w:pPr>
      <w:r>
        <w:t xml:space="preserve">AOP 073 Depoziti, jamčevni polozi i potraživanja </w:t>
      </w:r>
    </w:p>
    <w:p w14:paraId="07689D6F" w14:textId="77777777" w:rsidR="00F22950" w:rsidRDefault="006D77A3" w:rsidP="005F1887">
      <w:pPr>
        <w:jc w:val="center"/>
      </w:pPr>
      <w:r>
        <w:t>od zaposlenih te za više plaćene poreze i ostalo</w:t>
      </w:r>
    </w:p>
    <w:p w14:paraId="1A70F5BB" w14:textId="536C5642" w:rsidR="006D77A3" w:rsidRDefault="006D77A3" w:rsidP="005F1887">
      <w:pPr>
        <w:jc w:val="center"/>
      </w:pPr>
      <w:r>
        <w:t xml:space="preserve"> </w:t>
      </w:r>
    </w:p>
    <w:p w14:paraId="5B42AF5B" w14:textId="6F0A165D" w:rsidR="006D77A3" w:rsidRDefault="0042243C" w:rsidP="00195F79">
      <w:pPr>
        <w:suppressAutoHyphens/>
        <w:spacing w:line="259" w:lineRule="auto"/>
        <w:jc w:val="both"/>
        <w:rPr>
          <w:rFonts w:eastAsia="Calibri"/>
          <w:lang w:eastAsia="en-US"/>
        </w:rPr>
      </w:pPr>
      <w:r w:rsidRPr="0042243C">
        <w:rPr>
          <w:rFonts w:eastAsia="Calibri"/>
          <w:lang w:eastAsia="en-US"/>
        </w:rPr>
        <w:t xml:space="preserve">Jamčevni polozi dani </w:t>
      </w:r>
      <w:r>
        <w:rPr>
          <w:rFonts w:eastAsia="Calibri"/>
          <w:lang w:eastAsia="en-US"/>
        </w:rPr>
        <w:t>zakupodavcu</w:t>
      </w:r>
      <w:r w:rsidRPr="0042243C">
        <w:rPr>
          <w:rFonts w:eastAsia="Calibri"/>
          <w:lang w:eastAsia="en-US"/>
        </w:rPr>
        <w:t xml:space="preserve"> kao jamstvo za uredno plaćanje </w:t>
      </w:r>
      <w:r>
        <w:rPr>
          <w:rFonts w:eastAsia="Calibri"/>
          <w:lang w:eastAsia="en-US"/>
        </w:rPr>
        <w:t>zakupa</w:t>
      </w:r>
      <w:r w:rsidRPr="0042243C">
        <w:rPr>
          <w:rFonts w:eastAsia="Calibri"/>
          <w:lang w:eastAsia="en-US"/>
        </w:rPr>
        <w:t xml:space="preserve"> i zajedničkih troškova su svedeni na srednji tečaj Hrvatske narodne banke d.d. sa stanjem na dan 31. prosinca 202</w:t>
      </w:r>
      <w:r>
        <w:rPr>
          <w:rFonts w:eastAsia="Calibri"/>
          <w:lang w:eastAsia="en-US"/>
        </w:rPr>
        <w:t>1</w:t>
      </w:r>
      <w:r w:rsidRPr="0042243C">
        <w:rPr>
          <w:rFonts w:eastAsia="Calibri"/>
          <w:lang w:eastAsia="en-US"/>
        </w:rPr>
        <w:t>.</w:t>
      </w:r>
    </w:p>
    <w:p w14:paraId="66F3DD1C" w14:textId="7526C740" w:rsidR="00AC1055" w:rsidRDefault="00AC1055" w:rsidP="00195F79">
      <w:pPr>
        <w:suppressAutoHyphens/>
        <w:spacing w:line="259" w:lineRule="auto"/>
        <w:jc w:val="both"/>
        <w:rPr>
          <w:rFonts w:eastAsia="Calibri"/>
          <w:lang w:eastAsia="en-US"/>
        </w:rPr>
      </w:pPr>
      <w:r w:rsidRPr="00AC1055">
        <w:rPr>
          <w:rFonts w:eastAsia="Calibri"/>
          <w:lang w:eastAsia="en-US"/>
        </w:rPr>
        <w:t>Ostala potraživanja se odnose na potraživanja za naknade koje se refundiraju (HZZO) u iznosu od 12.</w:t>
      </w:r>
      <w:r>
        <w:rPr>
          <w:rFonts w:eastAsia="Calibri"/>
          <w:lang w:eastAsia="en-US"/>
        </w:rPr>
        <w:t>366</w:t>
      </w:r>
      <w:r w:rsidRPr="00AC1055">
        <w:rPr>
          <w:rFonts w:eastAsia="Calibri"/>
          <w:lang w:eastAsia="en-US"/>
        </w:rPr>
        <w:t xml:space="preserve"> kn, potraživanja za predujmove u iznosu od </w:t>
      </w:r>
      <w:r>
        <w:rPr>
          <w:rFonts w:eastAsia="Calibri"/>
          <w:lang w:eastAsia="en-US"/>
        </w:rPr>
        <w:t>156.23</w:t>
      </w:r>
      <w:r w:rsidR="003818ED">
        <w:rPr>
          <w:rFonts w:eastAsia="Calibri"/>
          <w:lang w:eastAsia="en-US"/>
        </w:rPr>
        <w:t>9</w:t>
      </w:r>
      <w:r w:rsidRPr="00AC1055">
        <w:rPr>
          <w:rFonts w:eastAsia="Calibri"/>
          <w:lang w:eastAsia="en-US"/>
        </w:rPr>
        <w:t xml:space="preserve"> kn te ostala nespomenuta potraživanja – Državni proračun </w:t>
      </w:r>
      <w:r w:rsidR="001954C9" w:rsidRPr="00AC1055">
        <w:rPr>
          <w:rFonts w:eastAsia="Calibri"/>
          <w:lang w:eastAsia="en-US"/>
        </w:rPr>
        <w:t xml:space="preserve">u iznosu od </w:t>
      </w:r>
      <w:r w:rsidR="001954C9">
        <w:rPr>
          <w:rFonts w:eastAsia="Calibri"/>
          <w:lang w:eastAsia="en-US"/>
        </w:rPr>
        <w:t>151.162</w:t>
      </w:r>
      <w:r w:rsidR="001954C9" w:rsidRPr="00AC1055">
        <w:rPr>
          <w:rFonts w:eastAsia="Calibri"/>
          <w:lang w:eastAsia="en-US"/>
        </w:rPr>
        <w:t xml:space="preserve"> kn</w:t>
      </w:r>
      <w:r w:rsidR="001954C9">
        <w:rPr>
          <w:rFonts w:eastAsia="Calibri"/>
          <w:lang w:eastAsia="en-US"/>
        </w:rPr>
        <w:t xml:space="preserve"> koja se odnose na </w:t>
      </w:r>
      <w:r w:rsidR="00204A77" w:rsidRPr="00204A77">
        <w:rPr>
          <w:rFonts w:eastAsia="Calibri"/>
          <w:lang w:eastAsia="en-US"/>
        </w:rPr>
        <w:t>duplo plaćen</w:t>
      </w:r>
      <w:r w:rsidR="001954C9">
        <w:rPr>
          <w:rFonts w:eastAsia="Calibri"/>
          <w:lang w:eastAsia="en-US"/>
        </w:rPr>
        <w:t>e račune</w:t>
      </w:r>
      <w:r w:rsidR="00204A77" w:rsidRPr="00204A77">
        <w:rPr>
          <w:rFonts w:eastAsia="Calibri"/>
          <w:lang w:eastAsia="en-US"/>
        </w:rPr>
        <w:t xml:space="preserve"> Državnog proraču</w:t>
      </w:r>
      <w:r w:rsidR="00204A77">
        <w:rPr>
          <w:rFonts w:eastAsia="Calibri"/>
          <w:lang w:eastAsia="en-US"/>
        </w:rPr>
        <w:t>na pri čemu</w:t>
      </w:r>
      <w:r w:rsidR="00204A77" w:rsidRPr="00204A77">
        <w:rPr>
          <w:rFonts w:eastAsia="Calibri"/>
          <w:lang w:eastAsia="en-US"/>
        </w:rPr>
        <w:t xml:space="preserve"> se preplaćeni iznos na zahtjev vraća iz Državnog proračuna ili sredstva ostaju za podmirenje novih računa</w:t>
      </w:r>
      <w:r w:rsidRPr="00AC1055">
        <w:rPr>
          <w:rFonts w:eastAsia="Calibri"/>
          <w:lang w:eastAsia="en-US"/>
        </w:rPr>
        <w:t>.</w:t>
      </w:r>
    </w:p>
    <w:p w14:paraId="5DF283C4" w14:textId="77777777" w:rsidR="00E762E9" w:rsidRDefault="00E762E9" w:rsidP="00195F79">
      <w:pPr>
        <w:suppressAutoHyphens/>
        <w:spacing w:line="259" w:lineRule="auto"/>
        <w:jc w:val="both"/>
        <w:rPr>
          <w:rFonts w:eastAsia="Calibri"/>
          <w:lang w:eastAsia="en-US"/>
        </w:rPr>
      </w:pPr>
    </w:p>
    <w:p w14:paraId="284E1418" w14:textId="7D38646C" w:rsidR="006D77A3" w:rsidRDefault="006D77A3" w:rsidP="006D77A3">
      <w:pPr>
        <w:suppressAutoHyphens/>
        <w:spacing w:line="259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Bilješka 15.</w:t>
      </w:r>
    </w:p>
    <w:p w14:paraId="57C3BD55" w14:textId="52EE7172" w:rsidR="006D77A3" w:rsidRDefault="006D77A3" w:rsidP="006D77A3">
      <w:pPr>
        <w:suppressAutoHyphens/>
        <w:spacing w:line="259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AOP 141 </w:t>
      </w:r>
      <w:r w:rsidRPr="006D77A3">
        <w:rPr>
          <w:rFonts w:eastAsia="Calibri"/>
          <w:lang w:eastAsia="en-US"/>
        </w:rPr>
        <w:t>Potraživanja za pri</w:t>
      </w:r>
      <w:r>
        <w:rPr>
          <w:rFonts w:eastAsia="Calibri"/>
          <w:lang w:eastAsia="en-US"/>
        </w:rPr>
        <w:t>hode poslovanja</w:t>
      </w:r>
    </w:p>
    <w:p w14:paraId="7E35FEE2" w14:textId="77777777" w:rsidR="00F22950" w:rsidRDefault="00F22950" w:rsidP="006D77A3">
      <w:pPr>
        <w:suppressAutoHyphens/>
        <w:spacing w:line="259" w:lineRule="auto"/>
        <w:jc w:val="center"/>
        <w:rPr>
          <w:rFonts w:eastAsia="Calibri"/>
          <w:lang w:eastAsia="en-US"/>
        </w:rPr>
      </w:pPr>
    </w:p>
    <w:p w14:paraId="624CAC4B" w14:textId="77777777" w:rsidR="001468AC" w:rsidRDefault="00E762E9" w:rsidP="00E762E9">
      <w:pPr>
        <w:suppressAutoHyphens/>
        <w:spacing w:line="259" w:lineRule="auto"/>
        <w:jc w:val="both"/>
        <w:rPr>
          <w:rFonts w:eastAsia="Calibri"/>
          <w:lang w:eastAsia="en-US"/>
        </w:rPr>
      </w:pPr>
      <w:r w:rsidRPr="00135061">
        <w:rPr>
          <w:rFonts w:eastAsia="Calibri"/>
          <w:lang w:eastAsia="en-US"/>
        </w:rPr>
        <w:t xml:space="preserve">Potraživanja za prihode poslovanja iznose </w:t>
      </w:r>
      <w:r w:rsidR="00E43611" w:rsidRPr="00E43611">
        <w:rPr>
          <w:rFonts w:eastAsia="Calibri"/>
          <w:lang w:eastAsia="en-US"/>
        </w:rPr>
        <w:t>27.372.054</w:t>
      </w:r>
      <w:r w:rsidRPr="00135061">
        <w:rPr>
          <w:rFonts w:eastAsia="Calibri"/>
          <w:lang w:eastAsia="en-US"/>
        </w:rPr>
        <w:t xml:space="preserve"> kn. Najznačajnija su potraživanja za</w:t>
      </w:r>
      <w:r w:rsidR="00CE1826">
        <w:rPr>
          <w:rFonts w:eastAsia="Calibri"/>
          <w:lang w:eastAsia="en-US"/>
        </w:rPr>
        <w:t xml:space="preserve"> prihode po posebnim propisima </w:t>
      </w:r>
      <w:r w:rsidR="00335567">
        <w:rPr>
          <w:rFonts w:eastAsia="Calibri"/>
          <w:lang w:eastAsia="en-US"/>
        </w:rPr>
        <w:t xml:space="preserve">koja se </w:t>
      </w:r>
      <w:r w:rsidR="00335567" w:rsidRPr="00335567">
        <w:rPr>
          <w:rFonts w:eastAsia="Calibri"/>
          <w:lang w:eastAsia="en-US"/>
        </w:rPr>
        <w:t>odnose na potraživanja za prihode od davatelja poštanskih u</w:t>
      </w:r>
      <w:r w:rsidR="00335567">
        <w:rPr>
          <w:rFonts w:eastAsia="Calibri"/>
          <w:lang w:eastAsia="en-US"/>
        </w:rPr>
        <w:t xml:space="preserve">sluga, od frekvencija, </w:t>
      </w:r>
      <w:r w:rsidR="00335567" w:rsidRPr="00335567">
        <w:rPr>
          <w:rFonts w:eastAsia="Calibri"/>
          <w:lang w:eastAsia="en-US"/>
        </w:rPr>
        <w:t>od bruto prihoda za elektroničke komunikacije</w:t>
      </w:r>
      <w:r w:rsidR="00335567">
        <w:rPr>
          <w:rFonts w:eastAsia="Calibri"/>
          <w:lang w:eastAsia="en-US"/>
        </w:rPr>
        <w:t xml:space="preserve">, od adresa i brojeva, </w:t>
      </w:r>
      <w:r w:rsidR="00335567" w:rsidRPr="00335567">
        <w:rPr>
          <w:rFonts w:eastAsia="Calibri"/>
          <w:lang w:eastAsia="en-US"/>
        </w:rPr>
        <w:t>tehničkog pregleda i od posebnih ovlaštenja za pravne osobe</w:t>
      </w:r>
      <w:r w:rsidR="00335567">
        <w:rPr>
          <w:rFonts w:eastAsia="Calibri"/>
          <w:lang w:eastAsia="en-US"/>
        </w:rPr>
        <w:t xml:space="preserve">. </w:t>
      </w:r>
    </w:p>
    <w:p w14:paraId="44E9636F" w14:textId="314EB676" w:rsidR="001468AC" w:rsidRPr="001468AC" w:rsidRDefault="001468AC" w:rsidP="001468AC">
      <w:pPr>
        <w:suppressAutoHyphens/>
        <w:spacing w:line="259" w:lineRule="auto"/>
        <w:jc w:val="both"/>
        <w:rPr>
          <w:rFonts w:eastAsia="Calibri"/>
          <w:lang w:eastAsia="en-US"/>
        </w:rPr>
      </w:pPr>
      <w:r w:rsidRPr="001468AC">
        <w:rPr>
          <w:rFonts w:eastAsia="Calibri"/>
          <w:lang w:eastAsia="en-US"/>
        </w:rPr>
        <w:t xml:space="preserve">Povećanje potraživanja za prihode poslovanja u 2021. u odnosu na 2020. godinu rezultat je izmjene Pravilnika o plaćanju naknada za obavljanje poslova </w:t>
      </w:r>
      <w:r>
        <w:rPr>
          <w:rFonts w:eastAsia="Calibri"/>
          <w:lang w:eastAsia="en-US"/>
        </w:rPr>
        <w:t>HAKOM-a</w:t>
      </w:r>
      <w:r w:rsidRPr="001468AC">
        <w:rPr>
          <w:rFonts w:eastAsia="Calibri"/>
          <w:lang w:eastAsia="en-US"/>
        </w:rPr>
        <w:t xml:space="preserve"> kojim je uvedeno obročno plaćanje naknada (</w:t>
      </w:r>
      <w:r>
        <w:rPr>
          <w:rFonts w:eastAsia="Calibri"/>
          <w:lang w:eastAsia="en-US"/>
        </w:rPr>
        <w:t>4 obroka) iznosa većeg od 2 milijuna</w:t>
      </w:r>
      <w:r w:rsidRPr="001468AC">
        <w:rPr>
          <w:rFonts w:eastAsia="Calibri"/>
          <w:lang w:eastAsia="en-US"/>
        </w:rPr>
        <w:t xml:space="preserve"> kuna čime je </w:t>
      </w:r>
      <w:r>
        <w:rPr>
          <w:rFonts w:eastAsia="Calibri"/>
          <w:lang w:eastAsia="en-US"/>
        </w:rPr>
        <w:t xml:space="preserve">dio prihoda za račune izdane u 2021. </w:t>
      </w:r>
      <w:r>
        <w:rPr>
          <w:rFonts w:eastAsia="Calibri"/>
          <w:lang w:eastAsia="en-US"/>
        </w:rPr>
        <w:lastRenderedPageBreak/>
        <w:t>naplaćen u 2021., a preostali dio će biti ostvaren u 2022.</w:t>
      </w:r>
      <w:r w:rsidRPr="001468AC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>za razliku od</w:t>
      </w:r>
      <w:r w:rsidRPr="001468AC">
        <w:rPr>
          <w:rFonts w:eastAsia="Calibri"/>
          <w:lang w:eastAsia="en-US"/>
        </w:rPr>
        <w:t xml:space="preserve"> 2020. </w:t>
      </w:r>
      <w:r>
        <w:rPr>
          <w:rFonts w:eastAsia="Calibri"/>
          <w:lang w:eastAsia="en-US"/>
        </w:rPr>
        <w:t>kada</w:t>
      </w:r>
      <w:r w:rsidRPr="001468AC">
        <w:rPr>
          <w:rFonts w:eastAsia="Calibri"/>
          <w:lang w:eastAsia="en-US"/>
        </w:rPr>
        <w:t xml:space="preserve"> se naknada obračunavala u jednom iznosu i plaćala u jednom obroku</w:t>
      </w:r>
      <w:r>
        <w:rPr>
          <w:rFonts w:eastAsia="Calibri"/>
          <w:lang w:eastAsia="en-US"/>
        </w:rPr>
        <w:t xml:space="preserve"> u tekućoj godini</w:t>
      </w:r>
      <w:r w:rsidRPr="001468AC">
        <w:rPr>
          <w:rFonts w:eastAsia="Calibri"/>
          <w:lang w:eastAsia="en-US"/>
        </w:rPr>
        <w:t xml:space="preserve">. </w:t>
      </w:r>
    </w:p>
    <w:p w14:paraId="237AC3E4" w14:textId="45E66C98" w:rsidR="001468AC" w:rsidRDefault="001468AC" w:rsidP="001468AC">
      <w:pPr>
        <w:suppressAutoHyphens/>
        <w:spacing w:line="259" w:lineRule="auto"/>
        <w:jc w:val="both"/>
        <w:rPr>
          <w:rFonts w:eastAsia="Calibri"/>
          <w:lang w:eastAsia="en-US"/>
        </w:rPr>
      </w:pPr>
      <w:r w:rsidRPr="001468AC">
        <w:rPr>
          <w:rFonts w:eastAsia="Calibri"/>
          <w:lang w:eastAsia="en-US"/>
        </w:rPr>
        <w:t xml:space="preserve">Istim Pravilnikom </w:t>
      </w:r>
      <w:r w:rsidR="0075388E">
        <w:rPr>
          <w:rFonts w:eastAsia="Calibri"/>
          <w:lang w:eastAsia="en-US"/>
        </w:rPr>
        <w:t xml:space="preserve">je </w:t>
      </w:r>
      <w:r w:rsidRPr="001468AC">
        <w:rPr>
          <w:rFonts w:eastAsia="Calibri"/>
          <w:lang w:eastAsia="en-US"/>
        </w:rPr>
        <w:t>povećan prag oslobođenja od plaćanja naknada s 1 mil</w:t>
      </w:r>
      <w:r>
        <w:rPr>
          <w:rFonts w:eastAsia="Calibri"/>
          <w:lang w:eastAsia="en-US"/>
        </w:rPr>
        <w:t>ijun</w:t>
      </w:r>
      <w:r w:rsidRPr="001468AC">
        <w:rPr>
          <w:rFonts w:eastAsia="Calibri"/>
          <w:lang w:eastAsia="en-US"/>
        </w:rPr>
        <w:t xml:space="preserve"> kn bruto ostvarenog prihoda </w:t>
      </w:r>
      <w:r>
        <w:rPr>
          <w:rFonts w:eastAsia="Calibri"/>
          <w:lang w:eastAsia="en-US"/>
        </w:rPr>
        <w:t>na 7,5 milijuna</w:t>
      </w:r>
      <w:r w:rsidRPr="001468AC">
        <w:rPr>
          <w:rFonts w:eastAsia="Calibri"/>
          <w:lang w:eastAsia="en-US"/>
        </w:rPr>
        <w:t xml:space="preserve"> </w:t>
      </w:r>
      <w:r w:rsidR="0075388E">
        <w:rPr>
          <w:rFonts w:eastAsia="Calibri"/>
          <w:lang w:eastAsia="en-US"/>
        </w:rPr>
        <w:t xml:space="preserve">kn </w:t>
      </w:r>
      <w:r w:rsidRPr="001468AC">
        <w:rPr>
          <w:rFonts w:eastAsia="Calibri"/>
          <w:lang w:eastAsia="en-US"/>
        </w:rPr>
        <w:t xml:space="preserve">za naknade u području elektroničkih komunikacija, pošte i željeznice uz istovremeno povećanje naknada za obavljanje poslova </w:t>
      </w:r>
      <w:r>
        <w:rPr>
          <w:rFonts w:eastAsia="Calibri"/>
          <w:lang w:eastAsia="en-US"/>
        </w:rPr>
        <w:t>HAKOM-a</w:t>
      </w:r>
      <w:r w:rsidRPr="001468AC">
        <w:rPr>
          <w:rFonts w:eastAsia="Calibri"/>
          <w:lang w:eastAsia="en-US"/>
        </w:rPr>
        <w:t xml:space="preserve"> u području poštanskih usluga s 0,20% na 0,28%, a željezničkih usluga s 1,1% na 1,8%</w:t>
      </w:r>
      <w:r>
        <w:rPr>
          <w:rFonts w:eastAsia="Calibri"/>
          <w:lang w:eastAsia="en-US"/>
        </w:rPr>
        <w:t>.</w:t>
      </w:r>
    </w:p>
    <w:p w14:paraId="41B18956" w14:textId="1CC205CF" w:rsidR="006D77A3" w:rsidRDefault="00E762E9" w:rsidP="00E762E9">
      <w:pPr>
        <w:suppressAutoHyphens/>
        <w:spacing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Proveden je ispravak vrijednosti potraživanja sukladno </w:t>
      </w:r>
      <w:r w:rsidRPr="001B6130">
        <w:rPr>
          <w:rFonts w:eastAsia="Calibri"/>
          <w:lang w:eastAsia="en-US"/>
        </w:rPr>
        <w:t>Pravilnik</w:t>
      </w:r>
      <w:r>
        <w:rPr>
          <w:rFonts w:eastAsia="Calibri"/>
          <w:lang w:eastAsia="en-US"/>
        </w:rPr>
        <w:t>u</w:t>
      </w:r>
      <w:r w:rsidRPr="001B6130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o proračunskom računovodstvu i R</w:t>
      </w:r>
      <w:r w:rsidRPr="001B6130">
        <w:rPr>
          <w:rFonts w:eastAsia="Calibri"/>
          <w:lang w:eastAsia="en-US"/>
        </w:rPr>
        <w:t>ačunskom planu</w:t>
      </w:r>
      <w:r>
        <w:rPr>
          <w:rFonts w:eastAsia="Calibri"/>
          <w:lang w:eastAsia="en-US"/>
        </w:rPr>
        <w:t>.</w:t>
      </w:r>
    </w:p>
    <w:p w14:paraId="5665B4FC" w14:textId="77777777" w:rsidR="006D77A3" w:rsidRDefault="006D77A3" w:rsidP="00195F79">
      <w:pPr>
        <w:suppressAutoHyphens/>
        <w:spacing w:line="259" w:lineRule="auto"/>
        <w:jc w:val="both"/>
        <w:rPr>
          <w:rFonts w:eastAsia="Calibri"/>
          <w:lang w:eastAsia="en-US"/>
        </w:rPr>
      </w:pPr>
    </w:p>
    <w:p w14:paraId="454FF4B4" w14:textId="6072FCF6" w:rsidR="00195F79" w:rsidRPr="00135061" w:rsidRDefault="00195F79" w:rsidP="00195F79">
      <w:pPr>
        <w:jc w:val="center"/>
      </w:pPr>
      <w:r w:rsidRPr="00135061">
        <w:t>Bilješka 1</w:t>
      </w:r>
      <w:r w:rsidR="00833082">
        <w:t>6</w:t>
      </w:r>
      <w:r w:rsidRPr="00135061">
        <w:t>.</w:t>
      </w:r>
    </w:p>
    <w:p w14:paraId="00D00E51" w14:textId="5EBD5CA2" w:rsidR="00102D87" w:rsidRDefault="006D77A3" w:rsidP="00195F79">
      <w:pPr>
        <w:jc w:val="center"/>
        <w:rPr>
          <w:rFonts w:eastAsia="Calibri"/>
          <w:lang w:eastAsia="en-US"/>
        </w:rPr>
      </w:pPr>
      <w:r>
        <w:t>AOP 165</w:t>
      </w:r>
      <w:r w:rsidR="00195F79">
        <w:t xml:space="preserve"> </w:t>
      </w:r>
      <w:r w:rsidR="00195F79" w:rsidRPr="00195F79">
        <w:rPr>
          <w:rFonts w:eastAsia="Calibri"/>
          <w:lang w:eastAsia="en-US"/>
        </w:rPr>
        <w:t>Rashodi budućih razdobl</w:t>
      </w:r>
      <w:r w:rsidR="00195F79">
        <w:rPr>
          <w:rFonts w:eastAsia="Calibri"/>
          <w:lang w:eastAsia="en-US"/>
        </w:rPr>
        <w:t>ja i nedospjela naplata prihoda</w:t>
      </w:r>
    </w:p>
    <w:p w14:paraId="78802D4B" w14:textId="77777777" w:rsidR="00F22950" w:rsidRPr="00195F79" w:rsidRDefault="00F22950" w:rsidP="00195F79">
      <w:pPr>
        <w:jc w:val="center"/>
      </w:pPr>
    </w:p>
    <w:p w14:paraId="48C1DAFE" w14:textId="5654CACC" w:rsidR="00102D87" w:rsidRDefault="007D7B00" w:rsidP="00522B91">
      <w:pPr>
        <w:suppressAutoHyphens/>
        <w:spacing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Unaprijed plaćeni rashodi budućih razdoblja u iznosu od </w:t>
      </w:r>
      <w:r w:rsidR="00D97A5C" w:rsidRPr="00D97A5C">
        <w:rPr>
          <w:rFonts w:eastAsia="Calibri"/>
          <w:lang w:eastAsia="en-US"/>
        </w:rPr>
        <w:t>272.555</w:t>
      </w:r>
      <w:r>
        <w:rPr>
          <w:rFonts w:eastAsia="Calibri"/>
          <w:lang w:eastAsia="en-US"/>
        </w:rPr>
        <w:t xml:space="preserve"> kn se odnose na </w:t>
      </w:r>
      <w:r w:rsidR="00A24401">
        <w:rPr>
          <w:rFonts w:eastAsia="Calibri"/>
          <w:lang w:eastAsia="en-US"/>
        </w:rPr>
        <w:t xml:space="preserve">licence, </w:t>
      </w:r>
      <w:r w:rsidR="005451A9">
        <w:rPr>
          <w:rFonts w:eastAsia="Calibri"/>
          <w:lang w:eastAsia="en-US"/>
        </w:rPr>
        <w:t xml:space="preserve">premiju osiguranja </w:t>
      </w:r>
      <w:r w:rsidR="00263E66">
        <w:rPr>
          <w:rFonts w:eastAsia="Calibri"/>
          <w:lang w:eastAsia="en-US"/>
        </w:rPr>
        <w:t>vozila</w:t>
      </w:r>
      <w:r w:rsidR="00A24401">
        <w:rPr>
          <w:rFonts w:eastAsia="Calibri"/>
          <w:lang w:eastAsia="en-US"/>
        </w:rPr>
        <w:t>, stručno usavršavanje zaposlenika</w:t>
      </w:r>
      <w:r w:rsidR="005633E2">
        <w:rPr>
          <w:rFonts w:eastAsia="Calibri"/>
          <w:lang w:eastAsia="en-US"/>
        </w:rPr>
        <w:t xml:space="preserve"> i</w:t>
      </w:r>
      <w:r w:rsidR="00A24401">
        <w:rPr>
          <w:rFonts w:eastAsia="Calibri"/>
          <w:lang w:eastAsia="en-US"/>
        </w:rPr>
        <w:t xml:space="preserve"> </w:t>
      </w:r>
      <w:r w:rsidR="00A24401" w:rsidRPr="00A24401">
        <w:rPr>
          <w:rFonts w:eastAsia="Calibri"/>
          <w:lang w:eastAsia="en-US"/>
        </w:rPr>
        <w:t>pretplatu na stručne časopise</w:t>
      </w:r>
      <w:r w:rsidR="005451A9">
        <w:rPr>
          <w:rFonts w:eastAsia="Calibri"/>
          <w:lang w:eastAsia="en-US"/>
        </w:rPr>
        <w:t>.</w:t>
      </w:r>
      <w:r w:rsidR="00D97A5C">
        <w:rPr>
          <w:rFonts w:eastAsia="Calibri"/>
          <w:lang w:eastAsia="en-US"/>
        </w:rPr>
        <w:t xml:space="preserve"> </w:t>
      </w:r>
    </w:p>
    <w:p w14:paraId="5EBCC641" w14:textId="77777777" w:rsidR="00522B91" w:rsidRDefault="00522B91" w:rsidP="00522B91">
      <w:pPr>
        <w:suppressAutoHyphens/>
        <w:spacing w:line="259" w:lineRule="auto"/>
        <w:jc w:val="both"/>
        <w:rPr>
          <w:rFonts w:eastAsia="Calibri"/>
          <w:lang w:eastAsia="en-US"/>
        </w:rPr>
      </w:pPr>
    </w:p>
    <w:p w14:paraId="4D170B36" w14:textId="01E6BFCE" w:rsidR="00522B91" w:rsidRPr="00135061" w:rsidRDefault="00522B91" w:rsidP="00522B91">
      <w:pPr>
        <w:jc w:val="center"/>
      </w:pPr>
      <w:r w:rsidRPr="00135061">
        <w:t>Bilješka 1</w:t>
      </w:r>
      <w:r w:rsidR="00833082">
        <w:t>7</w:t>
      </w:r>
      <w:r w:rsidRPr="00135061">
        <w:t>.</w:t>
      </w:r>
    </w:p>
    <w:p w14:paraId="77E53E3A" w14:textId="1685A416" w:rsidR="00933F20" w:rsidRDefault="00522B91" w:rsidP="00933F20">
      <w:pPr>
        <w:suppressAutoHyphens/>
        <w:spacing w:line="259" w:lineRule="auto"/>
        <w:jc w:val="center"/>
        <w:rPr>
          <w:rFonts w:eastAsia="Calibri"/>
          <w:lang w:eastAsia="en-US"/>
        </w:rPr>
      </w:pPr>
      <w:r>
        <w:t>AOP 1</w:t>
      </w:r>
      <w:r w:rsidR="00140EB5">
        <w:t>70</w:t>
      </w:r>
      <w:r>
        <w:t xml:space="preserve"> </w:t>
      </w:r>
      <w:r w:rsidR="00933F20">
        <w:rPr>
          <w:rFonts w:eastAsia="Calibri"/>
          <w:lang w:eastAsia="en-US"/>
        </w:rPr>
        <w:t>Obveze</w:t>
      </w:r>
    </w:p>
    <w:p w14:paraId="68568690" w14:textId="77777777" w:rsidR="00F22950" w:rsidRDefault="00F22950" w:rsidP="00933F20">
      <w:pPr>
        <w:suppressAutoHyphens/>
        <w:spacing w:line="259" w:lineRule="auto"/>
        <w:jc w:val="center"/>
        <w:rPr>
          <w:rFonts w:eastAsia="Calibri"/>
          <w:lang w:eastAsia="en-US"/>
        </w:rPr>
      </w:pPr>
    </w:p>
    <w:p w14:paraId="4E69C585" w14:textId="0EA0E741" w:rsidR="00933F20" w:rsidRDefault="00E53520" w:rsidP="00140EB5">
      <w:pPr>
        <w:suppressAutoHyphens/>
        <w:spacing w:line="259" w:lineRule="auto"/>
        <w:jc w:val="both"/>
        <w:rPr>
          <w:rFonts w:eastAsia="Calibri"/>
          <w:lang w:eastAsia="en-US"/>
        </w:rPr>
      </w:pPr>
      <w:r w:rsidRPr="00135061">
        <w:rPr>
          <w:rFonts w:eastAsia="Calibri"/>
          <w:lang w:eastAsia="en-US"/>
        </w:rPr>
        <w:t xml:space="preserve">Ukupne obveze su iskazane u iznosu od </w:t>
      </w:r>
      <w:r w:rsidR="00140EB5" w:rsidRPr="00140EB5">
        <w:rPr>
          <w:rFonts w:eastAsia="Calibri"/>
          <w:lang w:eastAsia="en-US"/>
        </w:rPr>
        <w:t>5.245.169</w:t>
      </w:r>
      <w:r w:rsidRPr="00135061">
        <w:rPr>
          <w:rFonts w:eastAsia="Calibri"/>
          <w:lang w:eastAsia="en-US"/>
        </w:rPr>
        <w:t xml:space="preserve"> kn. Najveći dio se odnosi na obveze za zaposlene </w:t>
      </w:r>
      <w:r w:rsidR="00E82006">
        <w:rPr>
          <w:rFonts w:eastAsia="Calibri"/>
          <w:lang w:eastAsia="en-US"/>
        </w:rPr>
        <w:t xml:space="preserve">(plaća za prosinac 2021.) </w:t>
      </w:r>
      <w:r w:rsidRPr="00135061">
        <w:rPr>
          <w:rFonts w:eastAsia="Calibri"/>
          <w:lang w:eastAsia="en-US"/>
        </w:rPr>
        <w:t>i za materijalne rashode koje su podmirene u siječnju 202</w:t>
      </w:r>
      <w:r w:rsidR="00140EB5">
        <w:rPr>
          <w:rFonts w:eastAsia="Calibri"/>
          <w:lang w:eastAsia="en-US"/>
        </w:rPr>
        <w:t>2</w:t>
      </w:r>
      <w:r w:rsidRPr="00135061">
        <w:rPr>
          <w:rFonts w:eastAsia="Calibri"/>
          <w:lang w:eastAsia="en-US"/>
        </w:rPr>
        <w:t>.</w:t>
      </w:r>
      <w:r w:rsidR="00933F20">
        <w:rPr>
          <w:rFonts w:eastAsia="Calibri"/>
          <w:lang w:eastAsia="en-US"/>
        </w:rPr>
        <w:t xml:space="preserve"> </w:t>
      </w:r>
    </w:p>
    <w:p w14:paraId="7946A727" w14:textId="77777777" w:rsidR="00140EB5" w:rsidRDefault="00140EB5" w:rsidP="00140EB5">
      <w:pPr>
        <w:suppressAutoHyphens/>
        <w:spacing w:line="259" w:lineRule="auto"/>
        <w:jc w:val="both"/>
        <w:rPr>
          <w:rFonts w:eastAsia="Calibri"/>
          <w:lang w:eastAsia="en-US"/>
        </w:rPr>
      </w:pPr>
    </w:p>
    <w:p w14:paraId="0B60439D" w14:textId="4D713C99" w:rsidR="0004545D" w:rsidRDefault="006E189A" w:rsidP="006E189A">
      <w:pPr>
        <w:suppressAutoHyphens/>
        <w:spacing w:line="259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Bilješka 1</w:t>
      </w:r>
      <w:r w:rsidR="00833082">
        <w:rPr>
          <w:rFonts w:eastAsia="Calibri"/>
          <w:lang w:eastAsia="en-US"/>
        </w:rPr>
        <w:t>8</w:t>
      </w:r>
      <w:r>
        <w:rPr>
          <w:rFonts w:eastAsia="Calibri"/>
          <w:lang w:eastAsia="en-US"/>
        </w:rPr>
        <w:t>.</w:t>
      </w:r>
    </w:p>
    <w:p w14:paraId="2C3228E2" w14:textId="1840C0C9" w:rsidR="006E189A" w:rsidRDefault="00C27C62" w:rsidP="006E189A">
      <w:pPr>
        <w:suppressAutoHyphens/>
        <w:spacing w:line="259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AOP 231</w:t>
      </w:r>
      <w:r w:rsidR="00E965C0">
        <w:rPr>
          <w:rFonts w:eastAsia="Calibri"/>
          <w:lang w:eastAsia="en-US"/>
        </w:rPr>
        <w:t xml:space="preserve"> Vlastiti izvori</w:t>
      </w:r>
    </w:p>
    <w:p w14:paraId="5A7526F1" w14:textId="77777777" w:rsidR="00F22950" w:rsidRPr="00135061" w:rsidRDefault="00F22950" w:rsidP="006E189A">
      <w:pPr>
        <w:suppressAutoHyphens/>
        <w:spacing w:line="259" w:lineRule="auto"/>
        <w:jc w:val="center"/>
        <w:rPr>
          <w:rFonts w:eastAsia="Calibri"/>
          <w:lang w:eastAsia="en-US"/>
        </w:rPr>
      </w:pPr>
    </w:p>
    <w:p w14:paraId="1EC662AA" w14:textId="08FC786C" w:rsidR="00E53520" w:rsidRDefault="00E965C0" w:rsidP="00055961">
      <w:pPr>
        <w:suppressAutoHyphens/>
        <w:spacing w:line="259" w:lineRule="auto"/>
        <w:jc w:val="both"/>
        <w:rPr>
          <w:rFonts w:eastAsia="Calibri"/>
          <w:lang w:eastAsia="en-US"/>
        </w:rPr>
      </w:pPr>
      <w:r w:rsidRPr="00E965C0">
        <w:rPr>
          <w:rFonts w:eastAsia="Calibri"/>
          <w:lang w:eastAsia="en-US"/>
        </w:rPr>
        <w:t xml:space="preserve">Napravljena je </w:t>
      </w:r>
      <w:r w:rsidR="009767D9">
        <w:rPr>
          <w:rFonts w:eastAsia="Calibri"/>
          <w:lang w:eastAsia="en-US"/>
        </w:rPr>
        <w:t xml:space="preserve">obvezna </w:t>
      </w:r>
      <w:r w:rsidRPr="00E965C0">
        <w:rPr>
          <w:rFonts w:eastAsia="Calibri"/>
          <w:lang w:eastAsia="en-US"/>
        </w:rPr>
        <w:t>korekcija rezultata te je u</w:t>
      </w:r>
      <w:r w:rsidR="00E53520" w:rsidRPr="00E965C0">
        <w:rPr>
          <w:rFonts w:eastAsia="Calibri"/>
          <w:lang w:eastAsia="en-US"/>
        </w:rPr>
        <w:t xml:space="preserve"> 20</w:t>
      </w:r>
      <w:r w:rsidRPr="00E965C0">
        <w:rPr>
          <w:rFonts w:eastAsia="Calibri"/>
          <w:lang w:eastAsia="en-US"/>
        </w:rPr>
        <w:t>2</w:t>
      </w:r>
      <w:r w:rsidR="00C27C62">
        <w:rPr>
          <w:rFonts w:eastAsia="Calibri"/>
          <w:lang w:eastAsia="en-US"/>
        </w:rPr>
        <w:t>1</w:t>
      </w:r>
      <w:r w:rsidR="00E53520" w:rsidRPr="00E965C0">
        <w:rPr>
          <w:rFonts w:eastAsia="Calibri"/>
          <w:lang w:eastAsia="en-US"/>
        </w:rPr>
        <w:t>. o</w:t>
      </w:r>
      <w:r w:rsidR="0068193A">
        <w:rPr>
          <w:rFonts w:eastAsia="Calibri"/>
          <w:lang w:eastAsia="en-US"/>
        </w:rPr>
        <w:t>stvaren</w:t>
      </w:r>
      <w:r w:rsidR="00E53520" w:rsidRPr="00E965C0">
        <w:rPr>
          <w:rFonts w:eastAsia="Calibri"/>
          <w:lang w:eastAsia="en-US"/>
        </w:rPr>
        <w:t xml:space="preserve"> </w:t>
      </w:r>
      <w:r w:rsidR="00C27C62">
        <w:rPr>
          <w:rFonts w:eastAsia="Calibri"/>
          <w:lang w:eastAsia="en-US"/>
        </w:rPr>
        <w:t>višak</w:t>
      </w:r>
      <w:r w:rsidR="00E53520" w:rsidRPr="00E965C0">
        <w:rPr>
          <w:rFonts w:eastAsia="Calibri"/>
          <w:lang w:eastAsia="en-US"/>
        </w:rPr>
        <w:t xml:space="preserve"> prihoda poslovanja u iznosu od </w:t>
      </w:r>
      <w:r w:rsidR="00C27C62">
        <w:rPr>
          <w:rFonts w:eastAsia="Calibri"/>
          <w:lang w:eastAsia="en-US"/>
        </w:rPr>
        <w:t>22.287.942</w:t>
      </w:r>
      <w:r w:rsidR="00DC50E5">
        <w:rPr>
          <w:rFonts w:eastAsia="Calibri"/>
          <w:lang w:eastAsia="en-US"/>
        </w:rPr>
        <w:t xml:space="preserve"> kn i</w:t>
      </w:r>
      <w:r w:rsidR="00E53520" w:rsidRPr="00E965C0">
        <w:rPr>
          <w:rFonts w:eastAsia="Calibri"/>
          <w:lang w:eastAsia="en-US"/>
        </w:rPr>
        <w:t xml:space="preserve"> manjak prihoda od nefinancijske imovine u iznosu od </w:t>
      </w:r>
      <w:r w:rsidR="00C27C62">
        <w:rPr>
          <w:rFonts w:eastAsia="Calibri"/>
          <w:lang w:eastAsia="en-US"/>
        </w:rPr>
        <w:t>7.019.654</w:t>
      </w:r>
      <w:r w:rsidR="00E53520" w:rsidRPr="00E965C0">
        <w:rPr>
          <w:rFonts w:eastAsia="Calibri"/>
          <w:lang w:eastAsia="en-US"/>
        </w:rPr>
        <w:t xml:space="preserve"> kn. Preneseni višak prihoda iz prethodnih godina iznosio je </w:t>
      </w:r>
      <w:r w:rsidR="00C27C62">
        <w:rPr>
          <w:rFonts w:eastAsia="Calibri"/>
          <w:lang w:eastAsia="en-US"/>
        </w:rPr>
        <w:t>29.050.918</w:t>
      </w:r>
      <w:r w:rsidR="00E53520" w:rsidRPr="00E965C0">
        <w:rPr>
          <w:rFonts w:eastAsia="Calibri"/>
          <w:lang w:eastAsia="en-US"/>
        </w:rPr>
        <w:t xml:space="preserve"> kn.</w:t>
      </w:r>
    </w:p>
    <w:p w14:paraId="28DD9AEB" w14:textId="77777777" w:rsidR="00055961" w:rsidRDefault="00055961" w:rsidP="00140EB5">
      <w:pPr>
        <w:suppressAutoHyphens/>
        <w:spacing w:line="259" w:lineRule="auto"/>
        <w:jc w:val="center"/>
        <w:rPr>
          <w:rFonts w:eastAsia="Calibri"/>
          <w:lang w:eastAsia="en-US"/>
        </w:rPr>
      </w:pPr>
    </w:p>
    <w:p w14:paraId="7D41ED21" w14:textId="70110074" w:rsidR="00202D22" w:rsidRDefault="00202D22" w:rsidP="00202D22">
      <w:pPr>
        <w:suppressAutoHyphens/>
        <w:spacing w:line="259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B</w:t>
      </w:r>
      <w:r w:rsidR="00055961">
        <w:rPr>
          <w:rFonts w:eastAsia="Calibri"/>
          <w:lang w:eastAsia="en-US"/>
        </w:rPr>
        <w:t>ilješka 1</w:t>
      </w:r>
      <w:r w:rsidR="00833082">
        <w:rPr>
          <w:rFonts w:eastAsia="Calibri"/>
          <w:lang w:eastAsia="en-US"/>
        </w:rPr>
        <w:t>9</w:t>
      </w:r>
      <w:r>
        <w:rPr>
          <w:rFonts w:eastAsia="Calibri"/>
          <w:lang w:eastAsia="en-US"/>
        </w:rPr>
        <w:t>.</w:t>
      </w:r>
    </w:p>
    <w:p w14:paraId="082D0B6A" w14:textId="173B9F19" w:rsidR="00E53520" w:rsidRDefault="00202D22" w:rsidP="00202D22">
      <w:pPr>
        <w:suppressAutoHyphens/>
        <w:spacing w:line="259" w:lineRule="auto"/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AOP 25</w:t>
      </w:r>
      <w:r w:rsidR="00AA02BB">
        <w:rPr>
          <w:rFonts w:eastAsia="Calibri"/>
          <w:lang w:eastAsia="en-US"/>
        </w:rPr>
        <w:t>3 i 254</w:t>
      </w:r>
      <w:r>
        <w:rPr>
          <w:rFonts w:eastAsia="Calibri"/>
          <w:lang w:eastAsia="en-US"/>
        </w:rPr>
        <w:t xml:space="preserve"> Izvanbilančni zapisi</w:t>
      </w:r>
    </w:p>
    <w:p w14:paraId="5B63C337" w14:textId="77777777" w:rsidR="00F22950" w:rsidRPr="00DA2E87" w:rsidRDefault="00F22950" w:rsidP="00202D22">
      <w:pPr>
        <w:suppressAutoHyphens/>
        <w:spacing w:line="259" w:lineRule="auto"/>
        <w:jc w:val="center"/>
        <w:rPr>
          <w:rFonts w:eastAsia="Calibri"/>
          <w:lang w:eastAsia="en-US"/>
        </w:rPr>
      </w:pPr>
    </w:p>
    <w:p w14:paraId="3BC3D1E0" w14:textId="069816DA" w:rsidR="00E53520" w:rsidRPr="00DA2E87" w:rsidRDefault="00E53520" w:rsidP="00202D22">
      <w:pPr>
        <w:suppressAutoHyphens/>
        <w:spacing w:line="259" w:lineRule="auto"/>
        <w:jc w:val="both"/>
        <w:rPr>
          <w:rFonts w:eastAsia="Calibri"/>
          <w:lang w:eastAsia="en-US"/>
        </w:rPr>
      </w:pPr>
      <w:r w:rsidRPr="00DA2E87">
        <w:rPr>
          <w:rFonts w:eastAsia="Calibri"/>
          <w:lang w:eastAsia="en-US"/>
        </w:rPr>
        <w:t xml:space="preserve">U izvanbilančnoj evidenciji u iznosu od </w:t>
      </w:r>
      <w:r w:rsidR="00AA02BB" w:rsidRPr="00AA02BB">
        <w:rPr>
          <w:rFonts w:eastAsia="Calibri"/>
          <w:lang w:eastAsia="en-US"/>
        </w:rPr>
        <w:t>8.031.539</w:t>
      </w:r>
      <w:r w:rsidRPr="00DA2E87">
        <w:rPr>
          <w:rFonts w:eastAsia="Calibri"/>
          <w:lang w:eastAsia="en-US"/>
        </w:rPr>
        <w:t xml:space="preserve"> kn je evidentirano sljedeće:</w:t>
      </w:r>
    </w:p>
    <w:p w14:paraId="6257481A" w14:textId="3EDCB53E" w:rsidR="00E53520" w:rsidRPr="00DA2E87" w:rsidRDefault="00E53520" w:rsidP="00E53520">
      <w:pPr>
        <w:pStyle w:val="ListParagraph"/>
        <w:numPr>
          <w:ilvl w:val="0"/>
          <w:numId w:val="13"/>
        </w:numPr>
        <w:suppressAutoHyphens/>
        <w:spacing w:after="160" w:line="259" w:lineRule="auto"/>
        <w:jc w:val="both"/>
        <w:rPr>
          <w:rFonts w:eastAsia="Calibri"/>
          <w:lang w:eastAsia="en-US"/>
        </w:rPr>
      </w:pPr>
      <w:r w:rsidRPr="00DA2E87">
        <w:rPr>
          <w:rFonts w:eastAsia="Calibri"/>
          <w:lang w:eastAsia="en-US"/>
        </w:rPr>
        <w:t>tuđa imovina dobivena na korištenje u iznosu od 1.060 kn,</w:t>
      </w:r>
      <w:r w:rsidR="00505C3F">
        <w:rPr>
          <w:rFonts w:eastAsia="Calibri"/>
          <w:lang w:eastAsia="en-US"/>
        </w:rPr>
        <w:t xml:space="preserve"> </w:t>
      </w:r>
    </w:p>
    <w:p w14:paraId="49760375" w14:textId="2BA38B45" w:rsidR="00E53520" w:rsidRPr="00DA2E87" w:rsidRDefault="00E53520" w:rsidP="00E53520">
      <w:pPr>
        <w:pStyle w:val="ListParagraph"/>
        <w:numPr>
          <w:ilvl w:val="0"/>
          <w:numId w:val="13"/>
        </w:numPr>
        <w:suppressAutoHyphens/>
        <w:spacing w:after="160" w:line="259" w:lineRule="auto"/>
        <w:jc w:val="both"/>
        <w:rPr>
          <w:rFonts w:eastAsia="Calibri"/>
          <w:lang w:eastAsia="en-US"/>
        </w:rPr>
      </w:pPr>
      <w:r w:rsidRPr="00DA2E87">
        <w:rPr>
          <w:rFonts w:eastAsia="Calibri"/>
          <w:lang w:eastAsia="en-US"/>
        </w:rPr>
        <w:t xml:space="preserve">instrumenti osiguranja plaćanja u iznosu od </w:t>
      </w:r>
      <w:r w:rsidR="00360E80">
        <w:rPr>
          <w:rFonts w:eastAsia="Calibri"/>
          <w:lang w:eastAsia="en-US"/>
        </w:rPr>
        <w:t>7.189.471</w:t>
      </w:r>
      <w:r w:rsidRPr="00DA2E87">
        <w:rPr>
          <w:rFonts w:eastAsia="Calibri"/>
          <w:lang w:eastAsia="en-US"/>
        </w:rPr>
        <w:t xml:space="preserve"> kn,</w:t>
      </w:r>
    </w:p>
    <w:p w14:paraId="4F6F7C90" w14:textId="269C9E09" w:rsidR="00E53520" w:rsidRPr="00DA2E87" w:rsidRDefault="00E53520" w:rsidP="00E53520">
      <w:pPr>
        <w:pStyle w:val="ListParagraph"/>
        <w:numPr>
          <w:ilvl w:val="0"/>
          <w:numId w:val="13"/>
        </w:numPr>
        <w:suppressAutoHyphens/>
        <w:spacing w:after="160" w:line="259" w:lineRule="auto"/>
        <w:jc w:val="both"/>
        <w:rPr>
          <w:rFonts w:eastAsia="Calibri"/>
          <w:lang w:eastAsia="en-US"/>
        </w:rPr>
      </w:pPr>
      <w:r w:rsidRPr="00DA2E87">
        <w:rPr>
          <w:rFonts w:eastAsia="Calibri"/>
          <w:lang w:eastAsia="en-US"/>
        </w:rPr>
        <w:t xml:space="preserve">potencijalne obveze po osnovi sudskih sporova u tijeku u iznosu od </w:t>
      </w:r>
      <w:r w:rsidR="00505C3F">
        <w:rPr>
          <w:rFonts w:eastAsia="Calibri"/>
          <w:lang w:eastAsia="en-US"/>
        </w:rPr>
        <w:t>841.008</w:t>
      </w:r>
      <w:r w:rsidRPr="00DA2E87">
        <w:rPr>
          <w:rFonts w:eastAsia="Calibri"/>
          <w:lang w:eastAsia="en-US"/>
        </w:rPr>
        <w:t xml:space="preserve"> kn,</w:t>
      </w:r>
    </w:p>
    <w:p w14:paraId="0B014675" w14:textId="77777777" w:rsidR="00202D22" w:rsidRDefault="00202D22" w:rsidP="00202D22">
      <w:pPr>
        <w:pStyle w:val="ListParagraph"/>
        <w:suppressAutoHyphens/>
        <w:spacing w:line="259" w:lineRule="auto"/>
        <w:jc w:val="both"/>
        <w:rPr>
          <w:rFonts w:eastAsia="Calibri"/>
          <w:lang w:eastAsia="en-US"/>
        </w:rPr>
      </w:pPr>
    </w:p>
    <w:p w14:paraId="7CE60040" w14:textId="77777777" w:rsidR="00360E80" w:rsidRPr="005B391E" w:rsidRDefault="00360E80" w:rsidP="005B391E">
      <w:pPr>
        <w:suppressAutoHyphens/>
        <w:spacing w:line="259" w:lineRule="auto"/>
        <w:jc w:val="both"/>
        <w:rPr>
          <w:rFonts w:eastAsia="Calibri"/>
          <w:lang w:eastAsia="en-US"/>
        </w:rPr>
      </w:pPr>
    </w:p>
    <w:p w14:paraId="0DCE0D22" w14:textId="77777777" w:rsidR="00340983" w:rsidRPr="00DA2E87" w:rsidRDefault="00340983" w:rsidP="00202D22">
      <w:pPr>
        <w:pStyle w:val="ListParagraph"/>
        <w:suppressAutoHyphens/>
        <w:spacing w:line="259" w:lineRule="auto"/>
        <w:jc w:val="both"/>
        <w:rPr>
          <w:rFonts w:eastAsia="Calibri"/>
          <w:lang w:eastAsia="en-US"/>
        </w:rPr>
      </w:pPr>
    </w:p>
    <w:p w14:paraId="7873BF71" w14:textId="1C4CBC35" w:rsidR="00A65998" w:rsidRDefault="00E53520" w:rsidP="005B391E">
      <w:pPr>
        <w:suppressAutoHyphens/>
        <w:spacing w:after="160" w:line="259" w:lineRule="auto"/>
        <w:jc w:val="both"/>
      </w:pPr>
      <w:r w:rsidRPr="00DA2E87">
        <w:rPr>
          <w:rFonts w:eastAsia="Calibri"/>
          <w:lang w:eastAsia="en-US"/>
        </w:rPr>
        <w:t xml:space="preserve">U nastavku su tablice s popisom ugovornih odnosa i slično koji uz ispunjenje određenih uvjeta mogu postati obveza ili imovina (dane i primljene bjanko zadužnice te primljene </w:t>
      </w:r>
      <w:r w:rsidR="002C11BC">
        <w:rPr>
          <w:rFonts w:eastAsia="Calibri"/>
          <w:lang w:eastAsia="en-US"/>
        </w:rPr>
        <w:t xml:space="preserve">zadužnice i </w:t>
      </w:r>
      <w:r w:rsidRPr="00DA2E87">
        <w:rPr>
          <w:rFonts w:eastAsia="Calibri"/>
          <w:lang w:eastAsia="en-US"/>
        </w:rPr>
        <w:t>bankovne garancije kao instrumenti osiguranja plaćanja) te popis sudskih sporova u tijeku s opisom prirode spora, procjenom financijskog učinka koji može proisteći iz sudskog spora kao obveza ili imovina te procijenjenim vremenom odljeva ili priljeva.</w:t>
      </w:r>
      <w:r w:rsidR="00961B70">
        <w:rPr>
          <w:rFonts w:eastAsia="Calibri"/>
          <w:lang w:eastAsia="en-US"/>
        </w:rPr>
        <w:t xml:space="preserve">   </w:t>
      </w:r>
    </w:p>
    <w:p w14:paraId="4E4DF45C" w14:textId="77777777" w:rsidR="00E53520" w:rsidRDefault="00E53520" w:rsidP="00A65998"/>
    <w:p w14:paraId="3996DCAF" w14:textId="77777777" w:rsidR="00746C31" w:rsidRDefault="00746C31" w:rsidP="00D47F74">
      <w:pPr>
        <w:jc w:val="center"/>
        <w:rPr>
          <w:rFonts w:eastAsiaTheme="minorHAnsi"/>
          <w:b/>
          <w:sz w:val="28"/>
          <w:szCs w:val="28"/>
          <w:lang w:eastAsia="en-US"/>
        </w:rPr>
        <w:sectPr w:rsidR="00746C31" w:rsidSect="0066434A">
          <w:headerReference w:type="default" r:id="rId11"/>
          <w:footerReference w:type="default" r:id="rId12"/>
          <w:headerReference w:type="first" r:id="rId13"/>
          <w:footerReference w:type="first" r:id="rId14"/>
          <w:pgSz w:w="11906" w:h="16838" w:code="9"/>
          <w:pgMar w:top="1701" w:right="1134" w:bottom="1560" w:left="1134" w:header="340" w:footer="454" w:gutter="0"/>
          <w:cols w:space="708"/>
          <w:titlePg/>
          <w:docGrid w:linePitch="360"/>
        </w:sectPr>
      </w:pPr>
    </w:p>
    <w:p w14:paraId="5BC4EEBA" w14:textId="12E69D9E" w:rsidR="00E53520" w:rsidRDefault="00E53520" w:rsidP="00D47F74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DA2E87">
        <w:rPr>
          <w:rFonts w:eastAsiaTheme="minorHAnsi"/>
          <w:b/>
          <w:sz w:val="28"/>
          <w:szCs w:val="28"/>
          <w:lang w:eastAsia="en-US"/>
        </w:rPr>
        <w:lastRenderedPageBreak/>
        <w:t>POPIS PRIMLJENIH I DANIH VRIJEDNOSNIH PAPIRA</w:t>
      </w:r>
    </w:p>
    <w:p w14:paraId="2D074477" w14:textId="77777777" w:rsidR="00E53520" w:rsidRPr="00DA2E87" w:rsidRDefault="00E53520" w:rsidP="00E53520">
      <w:pPr>
        <w:jc w:val="center"/>
        <w:rPr>
          <w:rFonts w:eastAsiaTheme="minorHAnsi"/>
          <w:b/>
          <w:lang w:eastAsia="en-US"/>
        </w:rPr>
      </w:pPr>
    </w:p>
    <w:tbl>
      <w:tblPr>
        <w:tblStyle w:val="TableGrid3"/>
        <w:tblW w:w="148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3259"/>
        <w:gridCol w:w="1842"/>
        <w:gridCol w:w="2127"/>
        <w:gridCol w:w="1984"/>
        <w:gridCol w:w="1276"/>
        <w:gridCol w:w="2269"/>
      </w:tblGrid>
      <w:tr w:rsidR="00471CD1" w:rsidRPr="00DA2E87" w14:paraId="284C3782" w14:textId="77777777" w:rsidTr="00D47F74"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7CE69CCA" w14:textId="77777777" w:rsidR="00471CD1" w:rsidRPr="00FA174B" w:rsidRDefault="00471CD1" w:rsidP="0047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Red. br.</w:t>
            </w:r>
          </w:p>
          <w:p w14:paraId="761A8697" w14:textId="77777777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2AA39A0" w14:textId="194ADC37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Datum izdavanja</w:t>
            </w:r>
          </w:p>
        </w:tc>
        <w:tc>
          <w:tcPr>
            <w:tcW w:w="3259" w:type="dxa"/>
            <w:shd w:val="clear" w:color="auto" w:fill="D9D9D9" w:themeFill="background1" w:themeFillShade="D9"/>
            <w:vAlign w:val="center"/>
          </w:tcPr>
          <w:p w14:paraId="0771A930" w14:textId="52453C94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Instrument osiguranja</w:t>
            </w:r>
          </w:p>
        </w:tc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DA92EAA" w14:textId="267DF13A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Iznos dani/primljeni</w:t>
            </w: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14:paraId="27063A8D" w14:textId="77777777" w:rsidR="00471CD1" w:rsidRDefault="00471CD1" w:rsidP="00471CD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Primatelj/</w:t>
            </w:r>
          </w:p>
          <w:p w14:paraId="49F69239" w14:textId="3501008D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davatelj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3545ED0" w14:textId="594D8AB2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Namjena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196DD7C2" w14:textId="29850125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Rok važenja</w:t>
            </w:r>
          </w:p>
        </w:tc>
        <w:tc>
          <w:tcPr>
            <w:tcW w:w="2269" w:type="dxa"/>
            <w:shd w:val="clear" w:color="auto" w:fill="D9D9D9" w:themeFill="background1" w:themeFillShade="D9"/>
            <w:vAlign w:val="center"/>
          </w:tcPr>
          <w:p w14:paraId="25FAF9C1" w14:textId="30C1F173" w:rsidR="00471CD1" w:rsidRPr="00DA2E87" w:rsidRDefault="00471CD1" w:rsidP="00471CD1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</w:rPr>
              <w:t>Napomena</w:t>
            </w:r>
          </w:p>
        </w:tc>
      </w:tr>
      <w:tr w:rsidR="00AA61AC" w:rsidRPr="00DA2E87" w14:paraId="405AFFB0" w14:textId="77777777" w:rsidTr="00D47F74">
        <w:trPr>
          <w:trHeight w:val="399"/>
        </w:trPr>
        <w:tc>
          <w:tcPr>
            <w:tcW w:w="817" w:type="dxa"/>
            <w:vAlign w:val="center"/>
          </w:tcPr>
          <w:p w14:paraId="0EFA3A44" w14:textId="2F94B967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</w:p>
        </w:tc>
        <w:tc>
          <w:tcPr>
            <w:tcW w:w="1276" w:type="dxa"/>
            <w:vAlign w:val="center"/>
          </w:tcPr>
          <w:p w14:paraId="3099F37C" w14:textId="1BC13212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10.10.2014.</w:t>
            </w:r>
          </w:p>
        </w:tc>
        <w:tc>
          <w:tcPr>
            <w:tcW w:w="3259" w:type="dxa"/>
            <w:vAlign w:val="center"/>
          </w:tcPr>
          <w:p w14:paraId="1D1E990A" w14:textId="7401D402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Bjanko zadužnica – OV-10490/14</w:t>
            </w:r>
          </w:p>
        </w:tc>
        <w:tc>
          <w:tcPr>
            <w:tcW w:w="1842" w:type="dxa"/>
            <w:vAlign w:val="center"/>
          </w:tcPr>
          <w:p w14:paraId="39E1E8EE" w14:textId="03B666D6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do 100.000,00 kn</w:t>
            </w:r>
          </w:p>
        </w:tc>
        <w:tc>
          <w:tcPr>
            <w:tcW w:w="2127" w:type="dxa"/>
            <w:vAlign w:val="center"/>
          </w:tcPr>
          <w:p w14:paraId="2AB1B333" w14:textId="4AB69890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INA d.d.</w:t>
            </w:r>
          </w:p>
        </w:tc>
        <w:tc>
          <w:tcPr>
            <w:tcW w:w="1984" w:type="dxa"/>
            <w:vAlign w:val="center"/>
          </w:tcPr>
          <w:p w14:paraId="7E3482F7" w14:textId="71BD6080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Osiguranje plaćanja</w:t>
            </w:r>
          </w:p>
        </w:tc>
        <w:tc>
          <w:tcPr>
            <w:tcW w:w="1276" w:type="dxa"/>
            <w:vAlign w:val="center"/>
          </w:tcPr>
          <w:p w14:paraId="3F913CF6" w14:textId="7B4DF4EC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31.12.2021.</w:t>
            </w:r>
          </w:p>
        </w:tc>
        <w:tc>
          <w:tcPr>
            <w:tcW w:w="2269" w:type="dxa"/>
            <w:vAlign w:val="center"/>
          </w:tcPr>
          <w:p w14:paraId="41DC6D54" w14:textId="13C0BC50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Dani vrijednosni papir</w:t>
            </w:r>
          </w:p>
        </w:tc>
      </w:tr>
      <w:tr w:rsidR="00AA61AC" w:rsidRPr="00DA2E87" w14:paraId="4486E4C8" w14:textId="77777777" w:rsidTr="00D47F74">
        <w:trPr>
          <w:trHeight w:val="419"/>
        </w:trPr>
        <w:tc>
          <w:tcPr>
            <w:tcW w:w="817" w:type="dxa"/>
            <w:vAlign w:val="center"/>
          </w:tcPr>
          <w:p w14:paraId="7E0FEA69" w14:textId="52166FF5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</w:p>
        </w:tc>
        <w:tc>
          <w:tcPr>
            <w:tcW w:w="1276" w:type="dxa"/>
            <w:vAlign w:val="center"/>
          </w:tcPr>
          <w:p w14:paraId="43A0B86D" w14:textId="300DF826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10.10.2014.</w:t>
            </w:r>
          </w:p>
        </w:tc>
        <w:tc>
          <w:tcPr>
            <w:tcW w:w="3259" w:type="dxa"/>
            <w:vAlign w:val="center"/>
          </w:tcPr>
          <w:p w14:paraId="07D01839" w14:textId="429F991E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Bjanko zadužnica – OV-10491/14</w:t>
            </w:r>
          </w:p>
        </w:tc>
        <w:tc>
          <w:tcPr>
            <w:tcW w:w="1842" w:type="dxa"/>
            <w:vAlign w:val="center"/>
          </w:tcPr>
          <w:p w14:paraId="553E0864" w14:textId="4BF2D28B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do 100.000,00 kn</w:t>
            </w:r>
          </w:p>
        </w:tc>
        <w:tc>
          <w:tcPr>
            <w:tcW w:w="2127" w:type="dxa"/>
            <w:vAlign w:val="center"/>
          </w:tcPr>
          <w:p w14:paraId="47D4BB52" w14:textId="089BE6C8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INA d.d.</w:t>
            </w:r>
          </w:p>
        </w:tc>
        <w:tc>
          <w:tcPr>
            <w:tcW w:w="1984" w:type="dxa"/>
            <w:vAlign w:val="center"/>
          </w:tcPr>
          <w:p w14:paraId="47230E35" w14:textId="47079CBA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Osiguranje plaćanja</w:t>
            </w:r>
          </w:p>
        </w:tc>
        <w:tc>
          <w:tcPr>
            <w:tcW w:w="1276" w:type="dxa"/>
            <w:vAlign w:val="center"/>
          </w:tcPr>
          <w:p w14:paraId="26E4E3CB" w14:textId="4B77BF55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31.12.2021.</w:t>
            </w:r>
          </w:p>
        </w:tc>
        <w:tc>
          <w:tcPr>
            <w:tcW w:w="2269" w:type="dxa"/>
            <w:vAlign w:val="center"/>
          </w:tcPr>
          <w:p w14:paraId="3603A2BC" w14:textId="6C26FDD6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Dani vrijednosni papir</w:t>
            </w:r>
          </w:p>
        </w:tc>
      </w:tr>
      <w:tr w:rsidR="00AA61AC" w:rsidRPr="00DA2E87" w14:paraId="6F0B1350" w14:textId="77777777" w:rsidTr="00D47F74">
        <w:trPr>
          <w:trHeight w:val="411"/>
        </w:trPr>
        <w:tc>
          <w:tcPr>
            <w:tcW w:w="817" w:type="dxa"/>
            <w:vAlign w:val="center"/>
          </w:tcPr>
          <w:p w14:paraId="0603A85F" w14:textId="35A7B319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F32FF7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76" w:type="dxa"/>
            <w:vAlign w:val="center"/>
          </w:tcPr>
          <w:p w14:paraId="555F0493" w14:textId="217BE7AA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30.04.2019.</w:t>
            </w:r>
          </w:p>
        </w:tc>
        <w:tc>
          <w:tcPr>
            <w:tcW w:w="3259" w:type="dxa"/>
            <w:vAlign w:val="center"/>
          </w:tcPr>
          <w:p w14:paraId="393F60DB" w14:textId="406F9C38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Bankovna garancija br. 81904-00188-33</w:t>
            </w:r>
          </w:p>
        </w:tc>
        <w:tc>
          <w:tcPr>
            <w:tcW w:w="1842" w:type="dxa"/>
            <w:vAlign w:val="center"/>
          </w:tcPr>
          <w:p w14:paraId="4F738926" w14:textId="78BED669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82.500,00 kn</w:t>
            </w:r>
          </w:p>
        </w:tc>
        <w:tc>
          <w:tcPr>
            <w:tcW w:w="2127" w:type="dxa"/>
            <w:vAlign w:val="center"/>
          </w:tcPr>
          <w:p w14:paraId="1E615D9C" w14:textId="123E3191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CULLEN INTERNATIONAL</w:t>
            </w:r>
          </w:p>
        </w:tc>
        <w:tc>
          <w:tcPr>
            <w:tcW w:w="1984" w:type="dxa"/>
            <w:vAlign w:val="center"/>
          </w:tcPr>
          <w:p w14:paraId="1850E53E" w14:textId="5DBC466B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Osiguranje plaćanja</w:t>
            </w:r>
          </w:p>
        </w:tc>
        <w:tc>
          <w:tcPr>
            <w:tcW w:w="1276" w:type="dxa"/>
            <w:vAlign w:val="center"/>
          </w:tcPr>
          <w:p w14:paraId="72773E82" w14:textId="123FD5F2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26.04.2022.</w:t>
            </w:r>
          </w:p>
        </w:tc>
        <w:tc>
          <w:tcPr>
            <w:tcW w:w="2269" w:type="dxa"/>
            <w:vAlign w:val="center"/>
          </w:tcPr>
          <w:p w14:paraId="63A5E9E6" w14:textId="20E03B24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Primljeni vrijednosni papir</w:t>
            </w:r>
          </w:p>
        </w:tc>
      </w:tr>
      <w:tr w:rsidR="00AA61AC" w:rsidRPr="00DA2E87" w14:paraId="478F3543" w14:textId="77777777" w:rsidTr="00D47F74">
        <w:trPr>
          <w:trHeight w:val="417"/>
        </w:trPr>
        <w:tc>
          <w:tcPr>
            <w:tcW w:w="817" w:type="dxa"/>
            <w:vAlign w:val="center"/>
          </w:tcPr>
          <w:p w14:paraId="16F0E072" w14:textId="78A9E65B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C66"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</w:p>
        </w:tc>
        <w:tc>
          <w:tcPr>
            <w:tcW w:w="1276" w:type="dxa"/>
            <w:vAlign w:val="center"/>
          </w:tcPr>
          <w:p w14:paraId="31DF3CF9" w14:textId="00AE6697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23.07.2019.</w:t>
            </w:r>
          </w:p>
        </w:tc>
        <w:tc>
          <w:tcPr>
            <w:tcW w:w="3259" w:type="dxa"/>
            <w:vAlign w:val="center"/>
          </w:tcPr>
          <w:p w14:paraId="5C32E1D7" w14:textId="19302DBA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Bankovna garancija br. 4100935388</w:t>
            </w:r>
          </w:p>
        </w:tc>
        <w:tc>
          <w:tcPr>
            <w:tcW w:w="1842" w:type="dxa"/>
            <w:vAlign w:val="center"/>
          </w:tcPr>
          <w:p w14:paraId="270ED697" w14:textId="6D05D35C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5.800.000,00 kn</w:t>
            </w:r>
          </w:p>
        </w:tc>
        <w:tc>
          <w:tcPr>
            <w:tcW w:w="2127" w:type="dxa"/>
            <w:vAlign w:val="center"/>
          </w:tcPr>
          <w:p w14:paraId="7F4B1E64" w14:textId="404EE476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Odašiljači i veze d.o.o.</w:t>
            </w:r>
          </w:p>
        </w:tc>
        <w:tc>
          <w:tcPr>
            <w:tcW w:w="1984" w:type="dxa"/>
            <w:vAlign w:val="center"/>
          </w:tcPr>
          <w:p w14:paraId="7FD9E3BA" w14:textId="56C57124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Osiguranje plaćanja</w:t>
            </w:r>
          </w:p>
        </w:tc>
        <w:tc>
          <w:tcPr>
            <w:tcW w:w="1276" w:type="dxa"/>
            <w:vAlign w:val="center"/>
          </w:tcPr>
          <w:p w14:paraId="65024B15" w14:textId="59383666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31.12.2022.</w:t>
            </w:r>
          </w:p>
        </w:tc>
        <w:tc>
          <w:tcPr>
            <w:tcW w:w="2269" w:type="dxa"/>
            <w:vAlign w:val="center"/>
          </w:tcPr>
          <w:p w14:paraId="24074FDA" w14:textId="77F5688D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Primljeni vrijednosni papir</w:t>
            </w:r>
          </w:p>
        </w:tc>
      </w:tr>
      <w:tr w:rsidR="00AA61AC" w:rsidRPr="00DA2E87" w14:paraId="69B07B7A" w14:textId="77777777" w:rsidTr="00D47F74">
        <w:trPr>
          <w:trHeight w:val="424"/>
        </w:trPr>
        <w:tc>
          <w:tcPr>
            <w:tcW w:w="817" w:type="dxa"/>
            <w:vAlign w:val="center"/>
          </w:tcPr>
          <w:p w14:paraId="5BFB27BA" w14:textId="2DE5C09C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5. </w:t>
            </w:r>
          </w:p>
        </w:tc>
        <w:tc>
          <w:tcPr>
            <w:tcW w:w="1276" w:type="dxa"/>
            <w:vAlign w:val="center"/>
          </w:tcPr>
          <w:p w14:paraId="4D2FE2FC" w14:textId="7B3C1F39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17.01.2020.</w:t>
            </w:r>
          </w:p>
        </w:tc>
        <w:tc>
          <w:tcPr>
            <w:tcW w:w="3259" w:type="dxa"/>
            <w:vAlign w:val="center"/>
          </w:tcPr>
          <w:p w14:paraId="4123C446" w14:textId="69BE9F03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Bankovna garancija br. 16/2020-G-DPVPJS</w:t>
            </w:r>
          </w:p>
        </w:tc>
        <w:tc>
          <w:tcPr>
            <w:tcW w:w="1842" w:type="dxa"/>
            <w:vAlign w:val="center"/>
          </w:tcPr>
          <w:p w14:paraId="142D8C65" w14:textId="515CC9F1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53.400,00 kn</w:t>
            </w:r>
          </w:p>
        </w:tc>
        <w:tc>
          <w:tcPr>
            <w:tcW w:w="2127" w:type="dxa"/>
            <w:vAlign w:val="center"/>
          </w:tcPr>
          <w:p w14:paraId="326FC5CD" w14:textId="1CC817BB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Croatia osiguranje d.d.</w:t>
            </w:r>
          </w:p>
        </w:tc>
        <w:tc>
          <w:tcPr>
            <w:tcW w:w="1984" w:type="dxa"/>
            <w:vAlign w:val="center"/>
          </w:tcPr>
          <w:p w14:paraId="05040B6A" w14:textId="02752F29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Osiguranje plaćanja</w:t>
            </w:r>
          </w:p>
        </w:tc>
        <w:tc>
          <w:tcPr>
            <w:tcW w:w="1276" w:type="dxa"/>
            <w:vAlign w:val="center"/>
          </w:tcPr>
          <w:p w14:paraId="07368EFE" w14:textId="40DD9FFF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31.01.2022.</w:t>
            </w:r>
          </w:p>
        </w:tc>
        <w:tc>
          <w:tcPr>
            <w:tcW w:w="2269" w:type="dxa"/>
            <w:vAlign w:val="center"/>
          </w:tcPr>
          <w:p w14:paraId="53186390" w14:textId="3C51796F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Primljeni vrijednosni papir</w:t>
            </w:r>
          </w:p>
        </w:tc>
      </w:tr>
      <w:tr w:rsidR="00AA61AC" w:rsidRPr="00DA2E87" w14:paraId="2817E665" w14:textId="77777777" w:rsidTr="00D47F74">
        <w:trPr>
          <w:trHeight w:val="435"/>
        </w:trPr>
        <w:tc>
          <w:tcPr>
            <w:tcW w:w="817" w:type="dxa"/>
            <w:vAlign w:val="center"/>
          </w:tcPr>
          <w:p w14:paraId="327DF44D" w14:textId="416B1227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1276" w:type="dxa"/>
            <w:vAlign w:val="center"/>
          </w:tcPr>
          <w:p w14:paraId="251206EA" w14:textId="202A76AA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29.01.2020.</w:t>
            </w:r>
          </w:p>
        </w:tc>
        <w:tc>
          <w:tcPr>
            <w:tcW w:w="3259" w:type="dxa"/>
            <w:vAlign w:val="center"/>
          </w:tcPr>
          <w:p w14:paraId="3FA009C9" w14:textId="46FCEFA2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Bankovna garancija br. 5402154717</w:t>
            </w:r>
          </w:p>
        </w:tc>
        <w:tc>
          <w:tcPr>
            <w:tcW w:w="1842" w:type="dxa"/>
            <w:vAlign w:val="center"/>
          </w:tcPr>
          <w:p w14:paraId="79A4487F" w14:textId="442C81F2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35.224,41 kn</w:t>
            </w:r>
          </w:p>
        </w:tc>
        <w:tc>
          <w:tcPr>
            <w:tcW w:w="2127" w:type="dxa"/>
            <w:vAlign w:val="center"/>
          </w:tcPr>
          <w:p w14:paraId="2E7E203B" w14:textId="6A23F143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Wiener osiguranje d.d.</w:t>
            </w:r>
          </w:p>
        </w:tc>
        <w:tc>
          <w:tcPr>
            <w:tcW w:w="1984" w:type="dxa"/>
            <w:vAlign w:val="center"/>
          </w:tcPr>
          <w:p w14:paraId="37A74715" w14:textId="0A1098F8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Osiguranje plaćanja</w:t>
            </w:r>
          </w:p>
        </w:tc>
        <w:tc>
          <w:tcPr>
            <w:tcW w:w="1276" w:type="dxa"/>
            <w:vAlign w:val="center"/>
          </w:tcPr>
          <w:p w14:paraId="275ECDB1" w14:textId="70E8E3BF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31.01.2022.</w:t>
            </w:r>
          </w:p>
        </w:tc>
        <w:tc>
          <w:tcPr>
            <w:tcW w:w="2269" w:type="dxa"/>
            <w:vAlign w:val="center"/>
          </w:tcPr>
          <w:p w14:paraId="7B05C9B4" w14:textId="1653DE63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Primljeni vrijednosni papir</w:t>
            </w:r>
          </w:p>
        </w:tc>
      </w:tr>
      <w:tr w:rsidR="00AA61AC" w:rsidRPr="00DA2E87" w14:paraId="7D34E755" w14:textId="77777777" w:rsidTr="00D47F74">
        <w:trPr>
          <w:trHeight w:val="411"/>
        </w:trPr>
        <w:tc>
          <w:tcPr>
            <w:tcW w:w="817" w:type="dxa"/>
            <w:vAlign w:val="center"/>
          </w:tcPr>
          <w:p w14:paraId="37EE68AA" w14:textId="3BBFD65C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1276" w:type="dxa"/>
            <w:vAlign w:val="center"/>
          </w:tcPr>
          <w:p w14:paraId="50320F88" w14:textId="205626AA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20.03.2020.</w:t>
            </w:r>
          </w:p>
        </w:tc>
        <w:tc>
          <w:tcPr>
            <w:tcW w:w="3259" w:type="dxa"/>
            <w:vAlign w:val="center"/>
          </w:tcPr>
          <w:p w14:paraId="2B8AC314" w14:textId="7B201549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Zadužnica poslovni br. OV-1419/20</w:t>
            </w:r>
          </w:p>
        </w:tc>
        <w:tc>
          <w:tcPr>
            <w:tcW w:w="1842" w:type="dxa"/>
            <w:vAlign w:val="center"/>
          </w:tcPr>
          <w:p w14:paraId="056A949C" w14:textId="0380422C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95.295,79 kn</w:t>
            </w:r>
          </w:p>
        </w:tc>
        <w:tc>
          <w:tcPr>
            <w:tcW w:w="2127" w:type="dxa"/>
            <w:vAlign w:val="center"/>
          </w:tcPr>
          <w:p w14:paraId="64D3DCF1" w14:textId="7D5A29E8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HP - Hrvatska pošta d.d.</w:t>
            </w:r>
          </w:p>
        </w:tc>
        <w:tc>
          <w:tcPr>
            <w:tcW w:w="1984" w:type="dxa"/>
            <w:vAlign w:val="center"/>
          </w:tcPr>
          <w:p w14:paraId="2ECFF333" w14:textId="239E42DF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Osiguranje plaćanja</w:t>
            </w:r>
          </w:p>
        </w:tc>
        <w:tc>
          <w:tcPr>
            <w:tcW w:w="1276" w:type="dxa"/>
            <w:vAlign w:val="center"/>
          </w:tcPr>
          <w:p w14:paraId="7AB1C9B5" w14:textId="608F56BA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28.02.2022.</w:t>
            </w:r>
          </w:p>
        </w:tc>
        <w:tc>
          <w:tcPr>
            <w:tcW w:w="2269" w:type="dxa"/>
            <w:vAlign w:val="center"/>
          </w:tcPr>
          <w:p w14:paraId="11943153" w14:textId="51C5248C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Primljeni vrijednosni papir</w:t>
            </w:r>
          </w:p>
        </w:tc>
      </w:tr>
      <w:tr w:rsidR="00AA61AC" w:rsidRPr="00DA2E87" w14:paraId="46D36865" w14:textId="77777777" w:rsidTr="00D47F74">
        <w:trPr>
          <w:trHeight w:val="402"/>
        </w:trPr>
        <w:tc>
          <w:tcPr>
            <w:tcW w:w="817" w:type="dxa"/>
            <w:vAlign w:val="center"/>
          </w:tcPr>
          <w:p w14:paraId="719BB232" w14:textId="060B007A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</w:t>
            </w:r>
          </w:p>
        </w:tc>
        <w:tc>
          <w:tcPr>
            <w:tcW w:w="1276" w:type="dxa"/>
            <w:vAlign w:val="center"/>
          </w:tcPr>
          <w:p w14:paraId="7D100DFD" w14:textId="19D64F37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08.09.2020.</w:t>
            </w:r>
          </w:p>
        </w:tc>
        <w:tc>
          <w:tcPr>
            <w:tcW w:w="3259" w:type="dxa"/>
            <w:vAlign w:val="center"/>
          </w:tcPr>
          <w:p w14:paraId="6BF59D6A" w14:textId="02F10D55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Bjanko zadužnica – OV-7461/2020</w:t>
            </w:r>
          </w:p>
        </w:tc>
        <w:tc>
          <w:tcPr>
            <w:tcW w:w="1842" w:type="dxa"/>
            <w:vAlign w:val="center"/>
          </w:tcPr>
          <w:p w14:paraId="48A4EB1C" w14:textId="311F6D64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25.328,64 kn</w:t>
            </w:r>
          </w:p>
        </w:tc>
        <w:tc>
          <w:tcPr>
            <w:tcW w:w="2127" w:type="dxa"/>
            <w:vAlign w:val="center"/>
          </w:tcPr>
          <w:p w14:paraId="79DC77E5" w14:textId="2DA0DBBA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KODEKS d.o.o.</w:t>
            </w:r>
          </w:p>
        </w:tc>
        <w:tc>
          <w:tcPr>
            <w:tcW w:w="1984" w:type="dxa"/>
            <w:vAlign w:val="center"/>
          </w:tcPr>
          <w:p w14:paraId="19F08D85" w14:textId="7B78D6EC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Osiguranje plaćanja</w:t>
            </w:r>
          </w:p>
        </w:tc>
        <w:tc>
          <w:tcPr>
            <w:tcW w:w="1276" w:type="dxa"/>
            <w:vAlign w:val="center"/>
          </w:tcPr>
          <w:p w14:paraId="3C71EE93" w14:textId="787D79D1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28.10.2025.</w:t>
            </w:r>
          </w:p>
        </w:tc>
        <w:tc>
          <w:tcPr>
            <w:tcW w:w="2269" w:type="dxa"/>
            <w:vAlign w:val="center"/>
          </w:tcPr>
          <w:p w14:paraId="79DA4D46" w14:textId="0E3F9C0F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Primljeni vrijednosni papir</w:t>
            </w:r>
          </w:p>
        </w:tc>
      </w:tr>
      <w:tr w:rsidR="00AA61AC" w:rsidRPr="00DA2E87" w14:paraId="74CCE586" w14:textId="77777777" w:rsidTr="00D47F74">
        <w:trPr>
          <w:trHeight w:val="426"/>
        </w:trPr>
        <w:tc>
          <w:tcPr>
            <w:tcW w:w="817" w:type="dxa"/>
            <w:vAlign w:val="center"/>
          </w:tcPr>
          <w:p w14:paraId="3758CF2C" w14:textId="3BDB514E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</w:t>
            </w:r>
          </w:p>
        </w:tc>
        <w:tc>
          <w:tcPr>
            <w:tcW w:w="1276" w:type="dxa"/>
            <w:vAlign w:val="center"/>
          </w:tcPr>
          <w:p w14:paraId="651094B6" w14:textId="2FE47B94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30.12.2020.</w:t>
            </w:r>
          </w:p>
        </w:tc>
        <w:tc>
          <w:tcPr>
            <w:tcW w:w="3259" w:type="dxa"/>
            <w:vAlign w:val="center"/>
          </w:tcPr>
          <w:p w14:paraId="48260021" w14:textId="33B73C8C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Zadužnica poslovni br. OV-12272/2020</w:t>
            </w:r>
          </w:p>
        </w:tc>
        <w:tc>
          <w:tcPr>
            <w:tcW w:w="1842" w:type="dxa"/>
            <w:vAlign w:val="center"/>
          </w:tcPr>
          <w:p w14:paraId="74DFCF0C" w14:textId="22084538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165.366,00 kn</w:t>
            </w:r>
          </w:p>
        </w:tc>
        <w:tc>
          <w:tcPr>
            <w:tcW w:w="2127" w:type="dxa"/>
            <w:vAlign w:val="center"/>
          </w:tcPr>
          <w:p w14:paraId="4916F020" w14:textId="6415F649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Mjerne tehnologije d.o.o.</w:t>
            </w:r>
          </w:p>
        </w:tc>
        <w:tc>
          <w:tcPr>
            <w:tcW w:w="1984" w:type="dxa"/>
            <w:vAlign w:val="center"/>
          </w:tcPr>
          <w:p w14:paraId="1006E3B4" w14:textId="50972318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Osiguranje plaćanja</w:t>
            </w:r>
          </w:p>
        </w:tc>
        <w:tc>
          <w:tcPr>
            <w:tcW w:w="1276" w:type="dxa"/>
            <w:vAlign w:val="center"/>
          </w:tcPr>
          <w:p w14:paraId="735A2F54" w14:textId="5977E565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24.12.2027.</w:t>
            </w:r>
          </w:p>
        </w:tc>
        <w:tc>
          <w:tcPr>
            <w:tcW w:w="2269" w:type="dxa"/>
            <w:vAlign w:val="center"/>
          </w:tcPr>
          <w:p w14:paraId="65D69988" w14:textId="3D8AE22D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Primljeni vrijednosni papir</w:t>
            </w:r>
          </w:p>
        </w:tc>
      </w:tr>
      <w:tr w:rsidR="00AA61AC" w:rsidRPr="00DA2E87" w14:paraId="53C83C53" w14:textId="77777777" w:rsidTr="00D47F74">
        <w:trPr>
          <w:trHeight w:val="417"/>
        </w:trPr>
        <w:tc>
          <w:tcPr>
            <w:tcW w:w="817" w:type="dxa"/>
            <w:vAlign w:val="center"/>
          </w:tcPr>
          <w:p w14:paraId="738E2DD4" w14:textId="1C833B67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</w:t>
            </w:r>
          </w:p>
        </w:tc>
        <w:tc>
          <w:tcPr>
            <w:tcW w:w="1276" w:type="dxa"/>
            <w:vAlign w:val="center"/>
          </w:tcPr>
          <w:p w14:paraId="30810A70" w14:textId="53B5E0F4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10.09.2021.</w:t>
            </w:r>
          </w:p>
        </w:tc>
        <w:tc>
          <w:tcPr>
            <w:tcW w:w="3259" w:type="dxa"/>
            <w:vAlign w:val="center"/>
          </w:tcPr>
          <w:p w14:paraId="617A3E3B" w14:textId="715AA998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Bankovna garancija br. 120-49-163748</w:t>
            </w:r>
          </w:p>
        </w:tc>
        <w:tc>
          <w:tcPr>
            <w:tcW w:w="1842" w:type="dxa"/>
            <w:vAlign w:val="center"/>
          </w:tcPr>
          <w:p w14:paraId="29B24B94" w14:textId="4C9FBCB9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58.914,13 kn</w:t>
            </w:r>
          </w:p>
        </w:tc>
        <w:tc>
          <w:tcPr>
            <w:tcW w:w="2127" w:type="dxa"/>
            <w:vAlign w:val="center"/>
          </w:tcPr>
          <w:p w14:paraId="380A470E" w14:textId="59928401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S&amp;T Hrvatska d.o.o.</w:t>
            </w:r>
          </w:p>
        </w:tc>
        <w:tc>
          <w:tcPr>
            <w:tcW w:w="1984" w:type="dxa"/>
            <w:vAlign w:val="center"/>
          </w:tcPr>
          <w:p w14:paraId="7D54B933" w14:textId="5AEEC22B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Osiguranje plaćanja</w:t>
            </w:r>
          </w:p>
        </w:tc>
        <w:tc>
          <w:tcPr>
            <w:tcW w:w="1276" w:type="dxa"/>
            <w:vAlign w:val="center"/>
          </w:tcPr>
          <w:p w14:paraId="3651E6EB" w14:textId="3B3A4044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31.07.2022.</w:t>
            </w:r>
          </w:p>
        </w:tc>
        <w:tc>
          <w:tcPr>
            <w:tcW w:w="2269" w:type="dxa"/>
            <w:vAlign w:val="center"/>
          </w:tcPr>
          <w:p w14:paraId="7F1495EA" w14:textId="2051A429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Primljeni vrijednosni papir</w:t>
            </w:r>
          </w:p>
        </w:tc>
      </w:tr>
      <w:tr w:rsidR="00AA61AC" w:rsidRPr="00DA2E87" w14:paraId="652388D1" w14:textId="77777777" w:rsidTr="00D47F74">
        <w:trPr>
          <w:trHeight w:val="409"/>
        </w:trPr>
        <w:tc>
          <w:tcPr>
            <w:tcW w:w="817" w:type="dxa"/>
            <w:vAlign w:val="center"/>
          </w:tcPr>
          <w:p w14:paraId="43BF21FB" w14:textId="0CB7E22E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</w:t>
            </w:r>
          </w:p>
        </w:tc>
        <w:tc>
          <w:tcPr>
            <w:tcW w:w="1276" w:type="dxa"/>
            <w:vAlign w:val="center"/>
          </w:tcPr>
          <w:p w14:paraId="16876E42" w14:textId="42F9FE9A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23.09.2021.</w:t>
            </w:r>
          </w:p>
        </w:tc>
        <w:tc>
          <w:tcPr>
            <w:tcW w:w="3259" w:type="dxa"/>
            <w:vAlign w:val="center"/>
          </w:tcPr>
          <w:p w14:paraId="649D85CF" w14:textId="73FE05A8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Bjanko zadužnica – OV-10581/2021</w:t>
            </w:r>
          </w:p>
        </w:tc>
        <w:tc>
          <w:tcPr>
            <w:tcW w:w="1842" w:type="dxa"/>
            <w:vAlign w:val="center"/>
          </w:tcPr>
          <w:p w14:paraId="0A233A02" w14:textId="776970B3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32.451,09 kn</w:t>
            </w:r>
          </w:p>
        </w:tc>
        <w:tc>
          <w:tcPr>
            <w:tcW w:w="2127" w:type="dxa"/>
            <w:vAlign w:val="center"/>
          </w:tcPr>
          <w:p w14:paraId="0475101C" w14:textId="09CB9208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KODEKS d.o.o.</w:t>
            </w:r>
          </w:p>
        </w:tc>
        <w:tc>
          <w:tcPr>
            <w:tcW w:w="1984" w:type="dxa"/>
            <w:vAlign w:val="center"/>
          </w:tcPr>
          <w:p w14:paraId="19F7AA30" w14:textId="68E311A9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Osiguranje plaćanja</w:t>
            </w:r>
          </w:p>
        </w:tc>
        <w:tc>
          <w:tcPr>
            <w:tcW w:w="1276" w:type="dxa"/>
            <w:vAlign w:val="center"/>
          </w:tcPr>
          <w:p w14:paraId="4D48A6C3" w14:textId="51408CE8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06.12.2026.</w:t>
            </w:r>
          </w:p>
        </w:tc>
        <w:tc>
          <w:tcPr>
            <w:tcW w:w="2269" w:type="dxa"/>
            <w:vAlign w:val="center"/>
          </w:tcPr>
          <w:p w14:paraId="773270EF" w14:textId="7354AF02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Primljeni vrijednosni papir</w:t>
            </w:r>
          </w:p>
        </w:tc>
      </w:tr>
      <w:tr w:rsidR="00AA61AC" w:rsidRPr="00DA2E87" w14:paraId="6D9EEE2F" w14:textId="77777777" w:rsidTr="00D47F74">
        <w:trPr>
          <w:trHeight w:val="393"/>
        </w:trPr>
        <w:tc>
          <w:tcPr>
            <w:tcW w:w="817" w:type="dxa"/>
            <w:vAlign w:val="center"/>
          </w:tcPr>
          <w:p w14:paraId="2E3E88DD" w14:textId="494F6811" w:rsidR="00AA61AC" w:rsidRPr="00AA61AC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</w:t>
            </w:r>
          </w:p>
        </w:tc>
        <w:tc>
          <w:tcPr>
            <w:tcW w:w="1276" w:type="dxa"/>
            <w:vAlign w:val="center"/>
          </w:tcPr>
          <w:p w14:paraId="301562E6" w14:textId="0C341CD4" w:rsidR="00AA61AC" w:rsidRDefault="00AA61AC" w:rsidP="00AA61AC">
            <w:pPr>
              <w:jc w:val="center"/>
              <w:rPr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05.10.2021.</w:t>
            </w:r>
          </w:p>
        </w:tc>
        <w:tc>
          <w:tcPr>
            <w:tcW w:w="3259" w:type="dxa"/>
            <w:vAlign w:val="center"/>
          </w:tcPr>
          <w:p w14:paraId="3F7FD883" w14:textId="077652E3" w:rsidR="00AA61AC" w:rsidRPr="00BD5341" w:rsidRDefault="00AA61AC" w:rsidP="00AA61AC">
            <w:pPr>
              <w:jc w:val="center"/>
              <w:rPr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Bankovna garancija br. 2104005285</w:t>
            </w:r>
          </w:p>
        </w:tc>
        <w:tc>
          <w:tcPr>
            <w:tcW w:w="1842" w:type="dxa"/>
            <w:vAlign w:val="center"/>
          </w:tcPr>
          <w:p w14:paraId="26A1F3F5" w14:textId="4E3CB24D" w:rsidR="00AA61AC" w:rsidRDefault="00AA61AC" w:rsidP="00AA61AC">
            <w:pPr>
              <w:jc w:val="center"/>
              <w:rPr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62.470,54 kn</w:t>
            </w:r>
          </w:p>
        </w:tc>
        <w:tc>
          <w:tcPr>
            <w:tcW w:w="2127" w:type="dxa"/>
            <w:vAlign w:val="center"/>
          </w:tcPr>
          <w:p w14:paraId="2E18B3BB" w14:textId="1D0253C8" w:rsidR="00AA61AC" w:rsidRDefault="00AA61AC" w:rsidP="00AA61AC">
            <w:pPr>
              <w:jc w:val="center"/>
              <w:rPr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GDi d.o.o.</w:t>
            </w:r>
          </w:p>
        </w:tc>
        <w:tc>
          <w:tcPr>
            <w:tcW w:w="1984" w:type="dxa"/>
            <w:vAlign w:val="center"/>
          </w:tcPr>
          <w:p w14:paraId="04B3C97B" w14:textId="39E6F484" w:rsidR="00AA61AC" w:rsidRPr="00BD5341" w:rsidRDefault="00AA61AC" w:rsidP="00AA61AC">
            <w:pPr>
              <w:jc w:val="center"/>
              <w:rPr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Osiguranje plaćanja</w:t>
            </w:r>
          </w:p>
        </w:tc>
        <w:tc>
          <w:tcPr>
            <w:tcW w:w="1276" w:type="dxa"/>
            <w:vAlign w:val="center"/>
          </w:tcPr>
          <w:p w14:paraId="00451E2C" w14:textId="51C455A9" w:rsidR="00AA61AC" w:rsidRDefault="00AA61AC" w:rsidP="00AA61AC">
            <w:pPr>
              <w:jc w:val="center"/>
              <w:rPr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31.07.2022.</w:t>
            </w:r>
          </w:p>
        </w:tc>
        <w:tc>
          <w:tcPr>
            <w:tcW w:w="2269" w:type="dxa"/>
            <w:vAlign w:val="center"/>
          </w:tcPr>
          <w:p w14:paraId="76A33115" w14:textId="339564F4" w:rsidR="00AA61AC" w:rsidRPr="00BD5341" w:rsidRDefault="00AA61AC" w:rsidP="00AA61AC">
            <w:pPr>
              <w:jc w:val="center"/>
              <w:rPr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Primljeni vrijednosni papir</w:t>
            </w:r>
          </w:p>
        </w:tc>
      </w:tr>
      <w:tr w:rsidR="00AA61AC" w:rsidRPr="00DA2E87" w14:paraId="3E40B8FF" w14:textId="77777777" w:rsidTr="00D47F74">
        <w:trPr>
          <w:trHeight w:val="393"/>
        </w:trPr>
        <w:tc>
          <w:tcPr>
            <w:tcW w:w="817" w:type="dxa"/>
            <w:vAlign w:val="center"/>
          </w:tcPr>
          <w:p w14:paraId="4379F865" w14:textId="7937962D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</w:t>
            </w:r>
          </w:p>
        </w:tc>
        <w:tc>
          <w:tcPr>
            <w:tcW w:w="1276" w:type="dxa"/>
            <w:vAlign w:val="center"/>
          </w:tcPr>
          <w:p w14:paraId="393B0AA4" w14:textId="366A6353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12.10.2021.</w:t>
            </w:r>
          </w:p>
        </w:tc>
        <w:tc>
          <w:tcPr>
            <w:tcW w:w="3259" w:type="dxa"/>
            <w:vAlign w:val="center"/>
          </w:tcPr>
          <w:p w14:paraId="29140827" w14:textId="5621DE95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Bankovna garancija br. 528890</w:t>
            </w:r>
          </w:p>
        </w:tc>
        <w:tc>
          <w:tcPr>
            <w:tcW w:w="1842" w:type="dxa"/>
            <w:vAlign w:val="center"/>
          </w:tcPr>
          <w:p w14:paraId="00897A17" w14:textId="744415D5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209.922,90 kn</w:t>
            </w:r>
          </w:p>
        </w:tc>
        <w:tc>
          <w:tcPr>
            <w:tcW w:w="2127" w:type="dxa"/>
            <w:vAlign w:val="center"/>
          </w:tcPr>
          <w:p w14:paraId="351D877E" w14:textId="58FC3389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IGEA d.o.o.</w:t>
            </w:r>
          </w:p>
        </w:tc>
        <w:tc>
          <w:tcPr>
            <w:tcW w:w="1984" w:type="dxa"/>
            <w:vAlign w:val="center"/>
          </w:tcPr>
          <w:p w14:paraId="48E3BD06" w14:textId="09C25E6A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Osiguranje plaćanja</w:t>
            </w:r>
          </w:p>
        </w:tc>
        <w:tc>
          <w:tcPr>
            <w:tcW w:w="1276" w:type="dxa"/>
            <w:vAlign w:val="center"/>
          </w:tcPr>
          <w:p w14:paraId="63D762C3" w14:textId="7C785271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07.11.2022.</w:t>
            </w:r>
          </w:p>
        </w:tc>
        <w:tc>
          <w:tcPr>
            <w:tcW w:w="2269" w:type="dxa"/>
            <w:vAlign w:val="center"/>
          </w:tcPr>
          <w:p w14:paraId="58F4B140" w14:textId="22535CD5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Primljeni vrijednosni papir</w:t>
            </w:r>
          </w:p>
        </w:tc>
      </w:tr>
      <w:tr w:rsidR="00AA61AC" w:rsidRPr="00DA2E87" w14:paraId="4DF7ABD4" w14:textId="77777777" w:rsidTr="00D47F74">
        <w:trPr>
          <w:trHeight w:val="427"/>
        </w:trPr>
        <w:tc>
          <w:tcPr>
            <w:tcW w:w="817" w:type="dxa"/>
            <w:vAlign w:val="center"/>
          </w:tcPr>
          <w:p w14:paraId="5405D2D2" w14:textId="6317E3A6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</w:t>
            </w:r>
          </w:p>
        </w:tc>
        <w:tc>
          <w:tcPr>
            <w:tcW w:w="1276" w:type="dxa"/>
            <w:vAlign w:val="center"/>
          </w:tcPr>
          <w:p w14:paraId="7E75A75D" w14:textId="414C6AA5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22.10.2021.</w:t>
            </w:r>
          </w:p>
        </w:tc>
        <w:tc>
          <w:tcPr>
            <w:tcW w:w="3259" w:type="dxa"/>
            <w:vAlign w:val="center"/>
          </w:tcPr>
          <w:p w14:paraId="02A29C44" w14:textId="52C7559A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Bankovna garancija br. 4101047282</w:t>
            </w:r>
          </w:p>
        </w:tc>
        <w:tc>
          <w:tcPr>
            <w:tcW w:w="1842" w:type="dxa"/>
            <w:vAlign w:val="center"/>
          </w:tcPr>
          <w:p w14:paraId="33518B62" w14:textId="5F528A92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213.600,00 kn</w:t>
            </w:r>
          </w:p>
        </w:tc>
        <w:tc>
          <w:tcPr>
            <w:tcW w:w="2127" w:type="dxa"/>
            <w:vAlign w:val="center"/>
          </w:tcPr>
          <w:p w14:paraId="5A5D0EA9" w14:textId="5D4EE771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Odašiljači i veze d.o.o.</w:t>
            </w:r>
          </w:p>
        </w:tc>
        <w:tc>
          <w:tcPr>
            <w:tcW w:w="1984" w:type="dxa"/>
            <w:vAlign w:val="center"/>
          </w:tcPr>
          <w:p w14:paraId="3F0854FE" w14:textId="3F6DE9A3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Osiguranje plaćanja</w:t>
            </w:r>
          </w:p>
        </w:tc>
        <w:tc>
          <w:tcPr>
            <w:tcW w:w="1276" w:type="dxa"/>
            <w:vAlign w:val="center"/>
          </w:tcPr>
          <w:p w14:paraId="3DB167D2" w14:textId="469A879B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31.12.2024.</w:t>
            </w:r>
          </w:p>
        </w:tc>
        <w:tc>
          <w:tcPr>
            <w:tcW w:w="2269" w:type="dxa"/>
            <w:vAlign w:val="center"/>
          </w:tcPr>
          <w:p w14:paraId="59E8AB12" w14:textId="11B73460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Primljeni vrijednosni papir</w:t>
            </w:r>
          </w:p>
        </w:tc>
      </w:tr>
      <w:tr w:rsidR="00AA61AC" w:rsidRPr="00DA2E87" w14:paraId="23E065E5" w14:textId="77777777" w:rsidTr="00D47F74">
        <w:trPr>
          <w:trHeight w:val="387"/>
        </w:trPr>
        <w:tc>
          <w:tcPr>
            <w:tcW w:w="817" w:type="dxa"/>
            <w:vAlign w:val="center"/>
          </w:tcPr>
          <w:p w14:paraId="3187B923" w14:textId="7393DCA0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</w:t>
            </w:r>
          </w:p>
        </w:tc>
        <w:tc>
          <w:tcPr>
            <w:tcW w:w="1276" w:type="dxa"/>
            <w:vAlign w:val="center"/>
          </w:tcPr>
          <w:p w14:paraId="3ED63461" w14:textId="6F2663BA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02.04.2019.</w:t>
            </w:r>
          </w:p>
        </w:tc>
        <w:tc>
          <w:tcPr>
            <w:tcW w:w="3259" w:type="dxa"/>
            <w:vAlign w:val="center"/>
          </w:tcPr>
          <w:p w14:paraId="3AA43DB6" w14:textId="02164A2A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Bjanko zadužnica – OV-3740/2019</w:t>
            </w:r>
          </w:p>
        </w:tc>
        <w:tc>
          <w:tcPr>
            <w:tcW w:w="1842" w:type="dxa"/>
            <w:vAlign w:val="center"/>
          </w:tcPr>
          <w:p w14:paraId="49E04C1A" w14:textId="120D70A7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11.593,20 kn</w:t>
            </w:r>
          </w:p>
        </w:tc>
        <w:tc>
          <w:tcPr>
            <w:tcW w:w="2127" w:type="dxa"/>
            <w:vAlign w:val="center"/>
          </w:tcPr>
          <w:p w14:paraId="3CD46B3F" w14:textId="3CA23C74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Digitalne tehnologije d.o.o.</w:t>
            </w:r>
          </w:p>
        </w:tc>
        <w:tc>
          <w:tcPr>
            <w:tcW w:w="1984" w:type="dxa"/>
            <w:vAlign w:val="center"/>
          </w:tcPr>
          <w:p w14:paraId="3C2315A5" w14:textId="18C22CAB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Osiguranje plaćanja</w:t>
            </w:r>
          </w:p>
        </w:tc>
        <w:tc>
          <w:tcPr>
            <w:tcW w:w="1276" w:type="dxa"/>
            <w:vAlign w:val="center"/>
          </w:tcPr>
          <w:p w14:paraId="290238E7" w14:textId="4780702F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17.11.2022.</w:t>
            </w:r>
          </w:p>
        </w:tc>
        <w:tc>
          <w:tcPr>
            <w:tcW w:w="2269" w:type="dxa"/>
            <w:vAlign w:val="center"/>
          </w:tcPr>
          <w:p w14:paraId="554DC737" w14:textId="6D5C1492" w:rsidR="00AA61AC" w:rsidRPr="00DA2E87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Primljeni vrijednosni papir</w:t>
            </w:r>
          </w:p>
        </w:tc>
      </w:tr>
      <w:tr w:rsidR="00AA61AC" w:rsidRPr="00DA2E87" w14:paraId="39818D18" w14:textId="77777777" w:rsidTr="00D47F74">
        <w:trPr>
          <w:trHeight w:val="387"/>
        </w:trPr>
        <w:tc>
          <w:tcPr>
            <w:tcW w:w="817" w:type="dxa"/>
            <w:vAlign w:val="center"/>
          </w:tcPr>
          <w:p w14:paraId="399405F0" w14:textId="60264189" w:rsidR="00AA61AC" w:rsidRPr="00AA61AC" w:rsidRDefault="00AA61AC" w:rsidP="00AA61A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16.</w:t>
            </w:r>
          </w:p>
        </w:tc>
        <w:tc>
          <w:tcPr>
            <w:tcW w:w="1276" w:type="dxa"/>
            <w:vAlign w:val="center"/>
          </w:tcPr>
          <w:p w14:paraId="7EB489D2" w14:textId="008E234C" w:rsidR="00AA61AC" w:rsidRDefault="00AA61AC" w:rsidP="00AA61AC">
            <w:pPr>
              <w:jc w:val="center"/>
              <w:rPr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30.11.2021.</w:t>
            </w:r>
          </w:p>
        </w:tc>
        <w:tc>
          <w:tcPr>
            <w:tcW w:w="3259" w:type="dxa"/>
            <w:vAlign w:val="center"/>
          </w:tcPr>
          <w:p w14:paraId="6F1841FC" w14:textId="67ECD0A1" w:rsidR="00AA61AC" w:rsidRDefault="00AA61AC" w:rsidP="00AA61AC">
            <w:pPr>
              <w:jc w:val="center"/>
              <w:rPr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Zadužnica poslovni br. OV-9216/2021</w:t>
            </w:r>
          </w:p>
        </w:tc>
        <w:tc>
          <w:tcPr>
            <w:tcW w:w="1842" w:type="dxa"/>
            <w:vAlign w:val="center"/>
          </w:tcPr>
          <w:p w14:paraId="10A854C4" w14:textId="030CAF46" w:rsidR="00AA61AC" w:rsidRDefault="00AA61AC" w:rsidP="00AA61AC">
            <w:pPr>
              <w:jc w:val="center"/>
              <w:rPr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143.403,70 kn</w:t>
            </w:r>
          </w:p>
        </w:tc>
        <w:tc>
          <w:tcPr>
            <w:tcW w:w="2127" w:type="dxa"/>
            <w:vAlign w:val="center"/>
          </w:tcPr>
          <w:p w14:paraId="24C88C31" w14:textId="18ACB5E6" w:rsidR="00AA61AC" w:rsidRDefault="00AA61AC" w:rsidP="00AA61AC">
            <w:pPr>
              <w:jc w:val="center"/>
              <w:rPr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Badurini d.o.o.</w:t>
            </w:r>
          </w:p>
        </w:tc>
        <w:tc>
          <w:tcPr>
            <w:tcW w:w="1984" w:type="dxa"/>
            <w:vAlign w:val="center"/>
          </w:tcPr>
          <w:p w14:paraId="3CB6F4FD" w14:textId="34CAE524" w:rsidR="00AA61AC" w:rsidRPr="00BD5341" w:rsidRDefault="00AA61AC" w:rsidP="00AA61AC">
            <w:pPr>
              <w:jc w:val="center"/>
              <w:rPr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Osiguranje plaćanja</w:t>
            </w:r>
          </w:p>
        </w:tc>
        <w:tc>
          <w:tcPr>
            <w:tcW w:w="1276" w:type="dxa"/>
            <w:vAlign w:val="center"/>
          </w:tcPr>
          <w:p w14:paraId="51E168CC" w14:textId="66C5637A" w:rsidR="00AA61AC" w:rsidRPr="0003381E" w:rsidRDefault="00AA61AC" w:rsidP="00AA61AC">
            <w:pPr>
              <w:jc w:val="center"/>
              <w:rPr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10.12.2022.</w:t>
            </w:r>
          </w:p>
        </w:tc>
        <w:tc>
          <w:tcPr>
            <w:tcW w:w="2269" w:type="dxa"/>
            <w:vAlign w:val="center"/>
          </w:tcPr>
          <w:p w14:paraId="4F7E409C" w14:textId="3D863183" w:rsidR="00AA61AC" w:rsidRPr="00BD5341" w:rsidRDefault="00AA61AC" w:rsidP="00AA61AC">
            <w:pPr>
              <w:jc w:val="center"/>
              <w:rPr>
                <w:sz w:val="18"/>
                <w:szCs w:val="18"/>
              </w:rPr>
            </w:pPr>
            <w:r w:rsidRPr="00AA61AC">
              <w:rPr>
                <w:rFonts w:ascii="Times New Roman" w:hAnsi="Times New Roman" w:cs="Times New Roman"/>
                <w:sz w:val="18"/>
                <w:szCs w:val="18"/>
              </w:rPr>
              <w:t>Primljeni vrijednosni papir</w:t>
            </w:r>
          </w:p>
        </w:tc>
      </w:tr>
      <w:tr w:rsidR="00225DA2" w:rsidRPr="00DA2E87" w14:paraId="403E8504" w14:textId="77777777" w:rsidTr="00D47F74">
        <w:trPr>
          <w:trHeight w:val="421"/>
        </w:trPr>
        <w:tc>
          <w:tcPr>
            <w:tcW w:w="817" w:type="dxa"/>
            <w:vAlign w:val="center"/>
          </w:tcPr>
          <w:p w14:paraId="72B1BEA8" w14:textId="77777777" w:rsidR="00225DA2" w:rsidRPr="00DA2E87" w:rsidRDefault="00225DA2" w:rsidP="00225D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7EC2347" w14:textId="77777777" w:rsidR="00225DA2" w:rsidRPr="00DA2E87" w:rsidRDefault="00225DA2" w:rsidP="00225D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259" w:type="dxa"/>
            <w:vAlign w:val="center"/>
          </w:tcPr>
          <w:p w14:paraId="2912122B" w14:textId="5BB12085" w:rsidR="00225DA2" w:rsidRPr="00AC5FAF" w:rsidRDefault="00225DA2" w:rsidP="00225DA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C5FAF">
              <w:rPr>
                <w:rFonts w:ascii="Times New Roman" w:hAnsi="Times New Roman" w:cs="Times New Roman"/>
                <w:b/>
                <w:sz w:val="22"/>
                <w:szCs w:val="22"/>
              </w:rPr>
              <w:t>UKUPNO</w:t>
            </w:r>
          </w:p>
        </w:tc>
        <w:tc>
          <w:tcPr>
            <w:tcW w:w="1842" w:type="dxa"/>
            <w:vAlign w:val="center"/>
          </w:tcPr>
          <w:p w14:paraId="354FB804" w14:textId="1738500F" w:rsidR="00225DA2" w:rsidRPr="00225DA2" w:rsidRDefault="00225DA2" w:rsidP="00225DA2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AA61AC">
              <w:rPr>
                <w:rFonts w:ascii="Times New Roman" w:hAnsi="Times New Roman" w:cs="Times New Roman"/>
                <w:b/>
                <w:sz w:val="22"/>
                <w:szCs w:val="22"/>
              </w:rPr>
              <w:t>7.189.470,40 kn</w:t>
            </w:r>
          </w:p>
        </w:tc>
        <w:tc>
          <w:tcPr>
            <w:tcW w:w="2127" w:type="dxa"/>
            <w:vAlign w:val="center"/>
          </w:tcPr>
          <w:p w14:paraId="4E53345D" w14:textId="77777777" w:rsidR="00225DA2" w:rsidRPr="00DA2E87" w:rsidRDefault="00225DA2" w:rsidP="00225D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14:paraId="690CB57D" w14:textId="77777777" w:rsidR="00225DA2" w:rsidRPr="00DA2E87" w:rsidRDefault="00225DA2" w:rsidP="00225D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79B7738" w14:textId="77777777" w:rsidR="00225DA2" w:rsidRPr="00DA2E87" w:rsidRDefault="00225DA2" w:rsidP="00225DA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9" w:type="dxa"/>
            <w:vAlign w:val="center"/>
          </w:tcPr>
          <w:p w14:paraId="12396E06" w14:textId="77777777" w:rsidR="00225DA2" w:rsidRPr="00DA2E87" w:rsidRDefault="00225DA2" w:rsidP="00225DA2">
            <w:pPr>
              <w:jc w:val="center"/>
              <w:rPr>
                <w:sz w:val="18"/>
                <w:szCs w:val="18"/>
              </w:rPr>
            </w:pPr>
          </w:p>
        </w:tc>
      </w:tr>
    </w:tbl>
    <w:p w14:paraId="74FB4CFF" w14:textId="77777777" w:rsidR="00E53520" w:rsidRPr="00DA2E87" w:rsidRDefault="00E53520" w:rsidP="008E6665">
      <w:pPr>
        <w:jc w:val="center"/>
        <w:rPr>
          <w:rFonts w:eastAsiaTheme="minorHAnsi"/>
          <w:b/>
          <w:sz w:val="28"/>
          <w:szCs w:val="28"/>
          <w:lang w:eastAsia="en-US"/>
        </w:rPr>
      </w:pPr>
      <w:bookmarkStart w:id="1" w:name="_GoBack"/>
      <w:bookmarkEnd w:id="1"/>
      <w:r w:rsidRPr="00DA2E87">
        <w:rPr>
          <w:rFonts w:eastAsiaTheme="minorHAnsi"/>
          <w:b/>
          <w:sz w:val="28"/>
          <w:szCs w:val="28"/>
          <w:lang w:eastAsia="en-US"/>
        </w:rPr>
        <w:lastRenderedPageBreak/>
        <w:t>POPIS SUDSKIH SPOROVA U TIJEKU</w:t>
      </w:r>
    </w:p>
    <w:p w14:paraId="67C5B5FD" w14:textId="77777777" w:rsidR="00E53520" w:rsidRPr="00DA2E87" w:rsidRDefault="00E53520" w:rsidP="00E53520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14:paraId="26E3A5B8" w14:textId="77777777" w:rsidR="00E53520" w:rsidRPr="00DA2E87" w:rsidRDefault="00E53520" w:rsidP="00E53520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tbl>
      <w:tblPr>
        <w:tblStyle w:val="TableGrid4"/>
        <w:tblW w:w="1488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1984"/>
        <w:gridCol w:w="2126"/>
        <w:gridCol w:w="1560"/>
        <w:gridCol w:w="1842"/>
        <w:gridCol w:w="4570"/>
      </w:tblGrid>
      <w:tr w:rsidR="00E53520" w:rsidRPr="00DA2E87" w14:paraId="019E3B33" w14:textId="77777777" w:rsidTr="00ED5791">
        <w:tc>
          <w:tcPr>
            <w:tcW w:w="675" w:type="dxa"/>
            <w:shd w:val="clear" w:color="auto" w:fill="D9D9D9" w:themeFill="background1" w:themeFillShade="D9"/>
          </w:tcPr>
          <w:p w14:paraId="06595286" w14:textId="77777777" w:rsidR="00E53520" w:rsidRPr="00DA2E87" w:rsidRDefault="00E53520" w:rsidP="00AA61A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2E87">
              <w:rPr>
                <w:rFonts w:ascii="Times New Roman" w:hAnsi="Times New Roman" w:cs="Times New Roman"/>
                <w:b/>
                <w:sz w:val="22"/>
                <w:szCs w:val="22"/>
              </w:rPr>
              <w:t>Red.</w:t>
            </w:r>
          </w:p>
          <w:p w14:paraId="2BBF8784" w14:textId="77777777" w:rsidR="00E53520" w:rsidRPr="00DA2E87" w:rsidRDefault="00E53520" w:rsidP="00AA61A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2E87">
              <w:rPr>
                <w:rFonts w:ascii="Times New Roman" w:hAnsi="Times New Roman" w:cs="Times New Roman"/>
                <w:b/>
                <w:sz w:val="22"/>
                <w:szCs w:val="22"/>
              </w:rPr>
              <w:t>br.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6DBEAC91" w14:textId="77777777" w:rsidR="00E53520" w:rsidRPr="00DA2E87" w:rsidRDefault="00E53520" w:rsidP="00AA61A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2E87">
              <w:rPr>
                <w:rFonts w:ascii="Times New Roman" w:hAnsi="Times New Roman" w:cs="Times New Roman"/>
                <w:b/>
                <w:sz w:val="22"/>
                <w:szCs w:val="22"/>
              </w:rPr>
              <w:t>Sudska oznaka predmeta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46EF19CE" w14:textId="77777777" w:rsidR="00E53520" w:rsidRPr="00DA2E87" w:rsidRDefault="00E53520" w:rsidP="00AA61A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2E87">
              <w:rPr>
                <w:rFonts w:ascii="Times New Roman" w:hAnsi="Times New Roman" w:cs="Times New Roman"/>
                <w:b/>
                <w:sz w:val="22"/>
                <w:szCs w:val="22"/>
              </w:rPr>
              <w:t>Vrsta tužbenog zahtjeva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DBDD9A9" w14:textId="77777777" w:rsidR="00E53520" w:rsidRPr="00DA2E87" w:rsidRDefault="00E53520" w:rsidP="00AA61A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2E87">
              <w:rPr>
                <w:rFonts w:ascii="Times New Roman" w:hAnsi="Times New Roman" w:cs="Times New Roman"/>
                <w:b/>
                <w:sz w:val="22"/>
                <w:szCs w:val="22"/>
              </w:rPr>
              <w:t>Procjena financijskog učinka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75422D4" w14:textId="77777777" w:rsidR="00E53520" w:rsidRPr="00DA2E87" w:rsidRDefault="00E53520" w:rsidP="00AA61A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2E87">
              <w:rPr>
                <w:rFonts w:ascii="Times New Roman" w:hAnsi="Times New Roman" w:cs="Times New Roman"/>
                <w:b/>
                <w:sz w:val="22"/>
                <w:szCs w:val="22"/>
              </w:rPr>
              <w:t>Tuženik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51C8F136" w14:textId="60C52D1D" w:rsidR="00E53520" w:rsidRPr="00DA2E87" w:rsidRDefault="00E53520" w:rsidP="00AA61A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2E87">
              <w:rPr>
                <w:rFonts w:ascii="Times New Roman" w:hAnsi="Times New Roman" w:cs="Times New Roman"/>
                <w:b/>
                <w:sz w:val="22"/>
                <w:szCs w:val="22"/>
              </w:rPr>
              <w:t>Tužitelj/</w:t>
            </w:r>
            <w:proofErr w:type="spellStart"/>
            <w:r w:rsidRPr="00DA2E87">
              <w:rPr>
                <w:rFonts w:ascii="Times New Roman" w:hAnsi="Times New Roman" w:cs="Times New Roman"/>
                <w:b/>
                <w:sz w:val="22"/>
                <w:szCs w:val="22"/>
              </w:rPr>
              <w:t>ica</w:t>
            </w:r>
            <w:proofErr w:type="spellEnd"/>
            <w:r w:rsidR="008E6665">
              <w:rPr>
                <w:rStyle w:val="FootnoteReference"/>
                <w:rFonts w:ascii="Times New Roman" w:hAnsi="Times New Roman" w:cs="Times New Roman"/>
                <w:b/>
                <w:sz w:val="22"/>
                <w:szCs w:val="22"/>
              </w:rPr>
              <w:footnoteReference w:id="1"/>
            </w:r>
          </w:p>
        </w:tc>
        <w:tc>
          <w:tcPr>
            <w:tcW w:w="4570" w:type="dxa"/>
            <w:shd w:val="clear" w:color="auto" w:fill="D9D9D9" w:themeFill="background1" w:themeFillShade="D9"/>
          </w:tcPr>
          <w:p w14:paraId="24DA886C" w14:textId="77777777" w:rsidR="00E53520" w:rsidRPr="00DA2E87" w:rsidRDefault="00E53520" w:rsidP="00AA61A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2E87">
              <w:rPr>
                <w:rFonts w:ascii="Times New Roman" w:hAnsi="Times New Roman" w:cs="Times New Roman"/>
                <w:b/>
                <w:sz w:val="22"/>
                <w:szCs w:val="22"/>
              </w:rPr>
              <w:t>Tijek postupka/</w:t>
            </w:r>
          </w:p>
          <w:p w14:paraId="6EB06EF9" w14:textId="77777777" w:rsidR="00E53520" w:rsidRPr="00DA2E87" w:rsidRDefault="00E53520" w:rsidP="00AA61A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2E87">
              <w:rPr>
                <w:rFonts w:ascii="Times New Roman" w:hAnsi="Times New Roman" w:cs="Times New Roman"/>
                <w:b/>
                <w:sz w:val="22"/>
                <w:szCs w:val="22"/>
              </w:rPr>
              <w:t>Procijenjeno vrijeme priljeva i odljeva sredstava</w:t>
            </w:r>
          </w:p>
        </w:tc>
      </w:tr>
      <w:tr w:rsidR="000F2999" w:rsidRPr="00DA2E87" w14:paraId="4FEFADA1" w14:textId="77777777" w:rsidTr="00ED5791">
        <w:trPr>
          <w:trHeight w:val="1587"/>
        </w:trPr>
        <w:tc>
          <w:tcPr>
            <w:tcW w:w="675" w:type="dxa"/>
          </w:tcPr>
          <w:p w14:paraId="2E51C701" w14:textId="48DA2A4A" w:rsidR="000F2999" w:rsidRPr="00DA2E87" w:rsidRDefault="000F2999" w:rsidP="000F2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127" w:type="dxa"/>
          </w:tcPr>
          <w:p w14:paraId="6B56AD58" w14:textId="77777777" w:rsidR="000F2999" w:rsidRPr="00B12C66" w:rsidRDefault="000F2999" w:rsidP="000F2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C66">
              <w:rPr>
                <w:rFonts w:ascii="Times New Roman" w:hAnsi="Times New Roman" w:cs="Times New Roman"/>
                <w:sz w:val="18"/>
                <w:szCs w:val="18"/>
              </w:rPr>
              <w:t>Klasa:</w:t>
            </w:r>
            <w:r w:rsidRPr="00B12C66">
              <w:t xml:space="preserve"> </w:t>
            </w:r>
            <w:r w:rsidRPr="00B12C66">
              <w:rPr>
                <w:rFonts w:ascii="Times New Roman" w:hAnsi="Times New Roman" w:cs="Times New Roman"/>
                <w:sz w:val="18"/>
                <w:szCs w:val="18"/>
              </w:rPr>
              <w:t>114-02/14-01/06</w:t>
            </w:r>
          </w:p>
          <w:p w14:paraId="7744EFFE" w14:textId="77777777" w:rsidR="000F2999" w:rsidRPr="00B12C66" w:rsidRDefault="000F2999" w:rsidP="000F2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C66">
              <w:rPr>
                <w:rFonts w:ascii="Times New Roman" w:hAnsi="Times New Roman" w:cs="Times New Roman"/>
                <w:sz w:val="18"/>
                <w:szCs w:val="18"/>
              </w:rPr>
              <w:t>Pr-1823/2014</w:t>
            </w:r>
          </w:p>
          <w:p w14:paraId="2AB7DA30" w14:textId="77777777" w:rsidR="000F2999" w:rsidRDefault="000F2999" w:rsidP="000F2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C66">
              <w:rPr>
                <w:rFonts w:ascii="Times New Roman" w:hAnsi="Times New Roman" w:cs="Times New Roman"/>
                <w:sz w:val="18"/>
                <w:szCs w:val="18"/>
              </w:rPr>
              <w:t>Gž R-783/2017</w:t>
            </w:r>
          </w:p>
          <w:p w14:paraId="7001ABBA" w14:textId="6A3A211A" w:rsidR="000F2999" w:rsidRPr="00DA2E87" w:rsidRDefault="000F2999" w:rsidP="000F2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35AB8">
              <w:rPr>
                <w:rFonts w:ascii="Times New Roman" w:hAnsi="Times New Roman" w:cs="Times New Roman"/>
                <w:sz w:val="18"/>
                <w:szCs w:val="18"/>
              </w:rPr>
              <w:t>Rev-154/2019</w:t>
            </w:r>
          </w:p>
        </w:tc>
        <w:tc>
          <w:tcPr>
            <w:tcW w:w="1984" w:type="dxa"/>
          </w:tcPr>
          <w:p w14:paraId="60598DBB" w14:textId="77777777" w:rsidR="000F2999" w:rsidRPr="00B12C66" w:rsidRDefault="000F2999" w:rsidP="000F2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C66">
              <w:rPr>
                <w:rFonts w:ascii="Times New Roman" w:hAnsi="Times New Roman" w:cs="Times New Roman"/>
                <w:sz w:val="18"/>
                <w:szCs w:val="18"/>
              </w:rPr>
              <w:t xml:space="preserve">Statusno </w:t>
            </w:r>
          </w:p>
          <w:p w14:paraId="4C766A85" w14:textId="669F19BF" w:rsidR="000F2999" w:rsidRPr="00DA2E87" w:rsidRDefault="000F2999" w:rsidP="000F2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C66">
              <w:rPr>
                <w:rFonts w:ascii="Times New Roman" w:hAnsi="Times New Roman" w:cs="Times New Roman"/>
                <w:sz w:val="18"/>
                <w:szCs w:val="18"/>
              </w:rPr>
              <w:t>(radi nedopuštenosti otkaza, diskriminacije i uznemiravanja)</w:t>
            </w:r>
          </w:p>
        </w:tc>
        <w:tc>
          <w:tcPr>
            <w:tcW w:w="2126" w:type="dxa"/>
          </w:tcPr>
          <w:p w14:paraId="75E15D8F" w14:textId="51568EEA" w:rsidR="000F2999" w:rsidRPr="00DA2E87" w:rsidRDefault="000F2999" w:rsidP="000F2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27F22">
              <w:rPr>
                <w:rFonts w:ascii="Times New Roman" w:hAnsi="Times New Roman" w:cs="Times New Roman"/>
                <w:sz w:val="18"/>
                <w:szCs w:val="18"/>
              </w:rPr>
              <w:t>30.000,00 kn</w:t>
            </w:r>
          </w:p>
        </w:tc>
        <w:tc>
          <w:tcPr>
            <w:tcW w:w="1560" w:type="dxa"/>
          </w:tcPr>
          <w:p w14:paraId="61CF30B5" w14:textId="4D1A2D9B" w:rsidR="000F2999" w:rsidRPr="00DA2E87" w:rsidRDefault="000F2999" w:rsidP="000F2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2C66">
              <w:rPr>
                <w:rFonts w:ascii="Times New Roman" w:hAnsi="Times New Roman" w:cs="Times New Roman"/>
                <w:sz w:val="18"/>
                <w:szCs w:val="18"/>
              </w:rPr>
              <w:t>HAKOM</w:t>
            </w:r>
          </w:p>
        </w:tc>
        <w:tc>
          <w:tcPr>
            <w:tcW w:w="1842" w:type="dxa"/>
          </w:tcPr>
          <w:p w14:paraId="648C7009" w14:textId="1EFB163E" w:rsidR="000F2999" w:rsidRPr="00DA2E87" w:rsidRDefault="000F2999" w:rsidP="000F2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XY-1</w:t>
            </w:r>
          </w:p>
        </w:tc>
        <w:tc>
          <w:tcPr>
            <w:tcW w:w="4570" w:type="dxa"/>
          </w:tcPr>
          <w:p w14:paraId="16722316" w14:textId="77777777" w:rsidR="000F2999" w:rsidRPr="00527F22" w:rsidRDefault="000F2999" w:rsidP="000F2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08.06.2017. – </w:t>
            </w:r>
            <w:r w:rsidRPr="00527F22">
              <w:rPr>
                <w:rFonts w:ascii="Times New Roman" w:hAnsi="Times New Roman" w:cs="Times New Roman"/>
                <w:sz w:val="18"/>
                <w:szCs w:val="18"/>
              </w:rPr>
              <w:t>presuda Općinskog radnog suda u Zagrebu,</w:t>
            </w:r>
          </w:p>
          <w:p w14:paraId="33B8B319" w14:textId="77777777" w:rsidR="000F2999" w:rsidRPr="00527F22" w:rsidRDefault="000F2999" w:rsidP="000F2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14.06.2017. – </w:t>
            </w:r>
            <w:r w:rsidRPr="00527F22">
              <w:rPr>
                <w:rFonts w:ascii="Times New Roman" w:hAnsi="Times New Roman" w:cs="Times New Roman"/>
                <w:sz w:val="18"/>
                <w:szCs w:val="18"/>
              </w:rPr>
              <w:t>izjavljene žalbe HAKOM-a i tužiteljice,</w:t>
            </w:r>
          </w:p>
          <w:p w14:paraId="4FBB9116" w14:textId="77777777" w:rsidR="000F2999" w:rsidRPr="00527F22" w:rsidRDefault="000F2999" w:rsidP="000F2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13.09.2018. – </w:t>
            </w:r>
            <w:r w:rsidRPr="00527F22">
              <w:rPr>
                <w:rFonts w:ascii="Times New Roman" w:hAnsi="Times New Roman" w:cs="Times New Roman"/>
                <w:sz w:val="18"/>
                <w:szCs w:val="18"/>
              </w:rPr>
              <w:t>Županijski sud u Splitu odbio žalbe i potvrdio prvostupanjsku presudu,</w:t>
            </w:r>
          </w:p>
          <w:p w14:paraId="69B9CC03" w14:textId="77777777" w:rsidR="000F2999" w:rsidRDefault="000F2999" w:rsidP="000F2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27F22">
              <w:rPr>
                <w:rFonts w:ascii="Times New Roman" w:hAnsi="Times New Roman" w:cs="Times New Roman"/>
                <w:sz w:val="18"/>
                <w:szCs w:val="18"/>
              </w:rPr>
              <w:t>26.11.2018. – izjavljena revizija tužiteljice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17D472D2" w14:textId="77777777" w:rsidR="000F2999" w:rsidRDefault="000F2999" w:rsidP="000F2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A4A4A">
              <w:rPr>
                <w:rFonts w:ascii="Times New Roman" w:hAnsi="Times New Roman" w:cs="Times New Roman"/>
                <w:sz w:val="18"/>
                <w:szCs w:val="18"/>
              </w:rPr>
              <w:t>14.01.2019.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Vrhovni sud Republike Hrvatske,</w:t>
            </w:r>
          </w:p>
          <w:p w14:paraId="6B91B593" w14:textId="4C45B310" w:rsidR="000F2999" w:rsidRPr="00DA2E87" w:rsidRDefault="000F2999" w:rsidP="000F29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2022. – </w:t>
            </w:r>
            <w:r w:rsidRPr="007A5A3F">
              <w:rPr>
                <w:rFonts w:ascii="Times New Roman" w:hAnsi="Times New Roman" w:cs="Times New Roman"/>
                <w:sz w:val="18"/>
                <w:szCs w:val="18"/>
              </w:rPr>
              <w:t>procijenjeno vrijeme priljeva i odljeva sredstava.</w:t>
            </w:r>
          </w:p>
        </w:tc>
      </w:tr>
      <w:tr w:rsidR="000F2999" w:rsidRPr="00DA2E87" w14:paraId="409FCAB3" w14:textId="77777777" w:rsidTr="00ED5791">
        <w:trPr>
          <w:trHeight w:val="1539"/>
        </w:trPr>
        <w:tc>
          <w:tcPr>
            <w:tcW w:w="675" w:type="dxa"/>
          </w:tcPr>
          <w:p w14:paraId="38E4E29D" w14:textId="7BC6EBF6" w:rsidR="000F2999" w:rsidRPr="00DA2E87" w:rsidRDefault="000F2999" w:rsidP="000F2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</w:p>
        </w:tc>
        <w:tc>
          <w:tcPr>
            <w:tcW w:w="2127" w:type="dxa"/>
          </w:tcPr>
          <w:p w14:paraId="66C4236E" w14:textId="77777777" w:rsidR="000F2999" w:rsidRDefault="000F2999" w:rsidP="000F2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Klasa: 114-02/14-01/10</w:t>
            </w:r>
          </w:p>
          <w:p w14:paraId="0D90326B" w14:textId="77777777" w:rsidR="000F2999" w:rsidRDefault="000F2999" w:rsidP="000F2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3A">
              <w:rPr>
                <w:rFonts w:ascii="Times New Roman" w:hAnsi="Times New Roman" w:cs="Times New Roman"/>
                <w:sz w:val="18"/>
                <w:szCs w:val="18"/>
              </w:rPr>
              <w:t>Pr-9642/2014</w:t>
            </w:r>
          </w:p>
          <w:p w14:paraId="6FEAE538" w14:textId="77777777" w:rsidR="000F2999" w:rsidRDefault="000F2999" w:rsidP="000F2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47439">
              <w:rPr>
                <w:rFonts w:ascii="Times New Roman" w:hAnsi="Times New Roman" w:cs="Times New Roman"/>
                <w:sz w:val="18"/>
                <w:szCs w:val="18"/>
              </w:rPr>
              <w:t>Gž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47439">
              <w:rPr>
                <w:rFonts w:ascii="Times New Roman" w:hAnsi="Times New Roman" w:cs="Times New Roman"/>
                <w:sz w:val="18"/>
                <w:szCs w:val="18"/>
              </w:rPr>
              <w:t>R-2241/2016</w:t>
            </w:r>
          </w:p>
          <w:p w14:paraId="60D7418D" w14:textId="216897F2" w:rsidR="000F2999" w:rsidRPr="00DA2E87" w:rsidRDefault="000F2999" w:rsidP="000F2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13423">
              <w:rPr>
                <w:rFonts w:ascii="Times New Roman" w:hAnsi="Times New Roman" w:cs="Times New Roman"/>
                <w:sz w:val="18"/>
                <w:szCs w:val="18"/>
              </w:rPr>
              <w:t>Revr-501/2018</w:t>
            </w:r>
          </w:p>
        </w:tc>
        <w:tc>
          <w:tcPr>
            <w:tcW w:w="1984" w:type="dxa"/>
          </w:tcPr>
          <w:p w14:paraId="3CFA9AC2" w14:textId="5F9E702A" w:rsidR="000F2999" w:rsidRPr="00DA2E87" w:rsidRDefault="000F2999" w:rsidP="000F2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R</w:t>
            </w:r>
            <w:r w:rsidRPr="008B3C3A">
              <w:rPr>
                <w:rFonts w:ascii="Times New Roman" w:hAnsi="Times New Roman" w:cs="Times New Roman"/>
                <w:sz w:val="18"/>
                <w:szCs w:val="18"/>
              </w:rPr>
              <w:t>adi isplate</w:t>
            </w:r>
          </w:p>
        </w:tc>
        <w:tc>
          <w:tcPr>
            <w:tcW w:w="2126" w:type="dxa"/>
          </w:tcPr>
          <w:p w14:paraId="750FEAD3" w14:textId="69C8F601" w:rsidR="000F2999" w:rsidRPr="00DA2E87" w:rsidRDefault="000F2999" w:rsidP="000F2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3A">
              <w:rPr>
                <w:rFonts w:ascii="Times New Roman" w:hAnsi="Times New Roman" w:cs="Times New Roman"/>
                <w:sz w:val="18"/>
                <w:szCs w:val="18"/>
              </w:rPr>
              <w:t>92.612,73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kn</w:t>
            </w:r>
          </w:p>
        </w:tc>
        <w:tc>
          <w:tcPr>
            <w:tcW w:w="1560" w:type="dxa"/>
          </w:tcPr>
          <w:p w14:paraId="7EB0A57F" w14:textId="5545AAC4" w:rsidR="000F2999" w:rsidRPr="00DA2E87" w:rsidRDefault="000F2999" w:rsidP="000F2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32FF7">
              <w:rPr>
                <w:rFonts w:ascii="Times New Roman" w:hAnsi="Times New Roman" w:cs="Times New Roman"/>
                <w:sz w:val="18"/>
                <w:szCs w:val="18"/>
              </w:rPr>
              <w:t>HAKOM</w:t>
            </w:r>
          </w:p>
        </w:tc>
        <w:tc>
          <w:tcPr>
            <w:tcW w:w="1842" w:type="dxa"/>
          </w:tcPr>
          <w:p w14:paraId="59C9FB49" w14:textId="53AD22D4" w:rsidR="000F2999" w:rsidRPr="00DA2E87" w:rsidRDefault="000F2999" w:rsidP="000F2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XY-2</w:t>
            </w:r>
          </w:p>
        </w:tc>
        <w:tc>
          <w:tcPr>
            <w:tcW w:w="4570" w:type="dxa"/>
          </w:tcPr>
          <w:p w14:paraId="16D09304" w14:textId="77777777" w:rsidR="000F2999" w:rsidRPr="004B380E" w:rsidRDefault="000F2999" w:rsidP="000F2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29.09.2016. – </w:t>
            </w:r>
            <w:r w:rsidRPr="004B380E">
              <w:rPr>
                <w:rFonts w:ascii="Times New Roman" w:hAnsi="Times New Roman" w:cs="Times New Roman"/>
                <w:sz w:val="18"/>
                <w:szCs w:val="18"/>
              </w:rPr>
              <w:t>presuda Općinskog radnog suda u Zagrebu,</w:t>
            </w:r>
          </w:p>
          <w:p w14:paraId="5AA4C7B5" w14:textId="77777777" w:rsidR="000F2999" w:rsidRPr="004B380E" w:rsidRDefault="000F2999" w:rsidP="000F2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03.10.2016. – </w:t>
            </w:r>
            <w:r w:rsidRPr="004B380E">
              <w:rPr>
                <w:rFonts w:ascii="Times New Roman" w:hAnsi="Times New Roman" w:cs="Times New Roman"/>
                <w:sz w:val="18"/>
                <w:szCs w:val="18"/>
              </w:rPr>
              <w:t>izjavljena žalba tužitelja,</w:t>
            </w:r>
          </w:p>
          <w:p w14:paraId="7E8E60FD" w14:textId="77777777" w:rsidR="000F2999" w:rsidRPr="004B380E" w:rsidRDefault="000F2999" w:rsidP="000F2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02.02.2018. – </w:t>
            </w:r>
            <w:r w:rsidRPr="004B380E">
              <w:rPr>
                <w:rFonts w:ascii="Times New Roman" w:hAnsi="Times New Roman" w:cs="Times New Roman"/>
                <w:sz w:val="18"/>
                <w:szCs w:val="18"/>
              </w:rPr>
              <w:t>Županijski sud u Zagrebu odbio žalbu tužitelja i potvrdio prvostupanjsku presudu,</w:t>
            </w:r>
          </w:p>
          <w:p w14:paraId="372BBBE1" w14:textId="77777777" w:rsidR="000F2999" w:rsidRDefault="000F2999" w:rsidP="000F2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15.05.2018. – </w:t>
            </w:r>
            <w:r w:rsidRPr="004B380E">
              <w:rPr>
                <w:rFonts w:ascii="Times New Roman" w:hAnsi="Times New Roman" w:cs="Times New Roman"/>
                <w:sz w:val="18"/>
                <w:szCs w:val="18"/>
              </w:rPr>
              <w:t>izjavljena revizija tužitelja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14:paraId="23D364DB" w14:textId="77777777" w:rsidR="000F2999" w:rsidRDefault="000F2999" w:rsidP="000F2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F6EC6">
              <w:rPr>
                <w:rFonts w:ascii="Times New Roman" w:hAnsi="Times New Roman" w:cs="Times New Roman"/>
                <w:sz w:val="18"/>
                <w:szCs w:val="18"/>
              </w:rPr>
              <w:t>15.05.2018.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–Vrhovni sud Republike Hrvatske,</w:t>
            </w:r>
          </w:p>
          <w:p w14:paraId="31D7D8AA" w14:textId="7FD0EF49" w:rsidR="000F2999" w:rsidRPr="00DA2E87" w:rsidRDefault="000F2999" w:rsidP="000F29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2022. – </w:t>
            </w:r>
            <w:r w:rsidRPr="00795322">
              <w:rPr>
                <w:rFonts w:ascii="Times New Roman" w:hAnsi="Times New Roman" w:cs="Times New Roman"/>
                <w:sz w:val="18"/>
                <w:szCs w:val="18"/>
              </w:rPr>
              <w:t>procijenjeno vrijeme priljeva i odljeva sredstava.</w:t>
            </w:r>
          </w:p>
        </w:tc>
      </w:tr>
      <w:tr w:rsidR="000F2999" w:rsidRPr="00DA2E87" w14:paraId="0E2ADAD9" w14:textId="77777777" w:rsidTr="00ED5791">
        <w:trPr>
          <w:trHeight w:val="711"/>
        </w:trPr>
        <w:tc>
          <w:tcPr>
            <w:tcW w:w="675" w:type="dxa"/>
          </w:tcPr>
          <w:p w14:paraId="4D2FFFCE" w14:textId="64894AAA" w:rsidR="000F2999" w:rsidRPr="00DA2E87" w:rsidRDefault="000F2999" w:rsidP="000F2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</w:p>
        </w:tc>
        <w:tc>
          <w:tcPr>
            <w:tcW w:w="2127" w:type="dxa"/>
          </w:tcPr>
          <w:p w14:paraId="3FE37201" w14:textId="77777777" w:rsidR="000F2999" w:rsidRPr="00795322" w:rsidRDefault="000F2999" w:rsidP="000F2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322">
              <w:rPr>
                <w:rFonts w:ascii="Times New Roman" w:hAnsi="Times New Roman" w:cs="Times New Roman"/>
                <w:sz w:val="18"/>
                <w:szCs w:val="18"/>
              </w:rPr>
              <w:t>Klasa: 114-02/17-01/03</w:t>
            </w:r>
          </w:p>
          <w:p w14:paraId="43E2FB28" w14:textId="139977B1" w:rsidR="000F2999" w:rsidRPr="00DA2E87" w:rsidRDefault="000F2999" w:rsidP="000F2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322">
              <w:rPr>
                <w:rFonts w:ascii="Times New Roman" w:hAnsi="Times New Roman" w:cs="Times New Roman"/>
                <w:sz w:val="18"/>
                <w:szCs w:val="18"/>
              </w:rPr>
              <w:t>Pr-1201/2017</w:t>
            </w:r>
          </w:p>
        </w:tc>
        <w:tc>
          <w:tcPr>
            <w:tcW w:w="1984" w:type="dxa"/>
          </w:tcPr>
          <w:p w14:paraId="46FFC805" w14:textId="77777777" w:rsidR="000F2999" w:rsidRPr="00795322" w:rsidRDefault="000F2999" w:rsidP="000F2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322">
              <w:rPr>
                <w:rFonts w:ascii="Times New Roman" w:hAnsi="Times New Roman" w:cs="Times New Roman"/>
                <w:sz w:val="18"/>
                <w:szCs w:val="18"/>
              </w:rPr>
              <w:t xml:space="preserve">Statusno </w:t>
            </w:r>
          </w:p>
          <w:p w14:paraId="6102AAC5" w14:textId="5DA9531D" w:rsidR="000F2999" w:rsidRPr="00DA2E87" w:rsidRDefault="000F2999" w:rsidP="000F2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322">
              <w:rPr>
                <w:rFonts w:ascii="Times New Roman" w:hAnsi="Times New Roman" w:cs="Times New Roman"/>
                <w:sz w:val="18"/>
                <w:szCs w:val="18"/>
              </w:rPr>
              <w:t>(radi diskriminacije)</w:t>
            </w:r>
          </w:p>
        </w:tc>
        <w:tc>
          <w:tcPr>
            <w:tcW w:w="2126" w:type="dxa"/>
          </w:tcPr>
          <w:p w14:paraId="3E5E387C" w14:textId="79584E84" w:rsidR="000F2999" w:rsidRPr="00DA2E87" w:rsidRDefault="000F2999" w:rsidP="000F2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322">
              <w:rPr>
                <w:rFonts w:ascii="Times New Roman" w:hAnsi="Times New Roman" w:cs="Times New Roman"/>
                <w:sz w:val="18"/>
                <w:szCs w:val="18"/>
              </w:rPr>
              <w:t>47.035,42 kn</w:t>
            </w:r>
          </w:p>
        </w:tc>
        <w:tc>
          <w:tcPr>
            <w:tcW w:w="1560" w:type="dxa"/>
          </w:tcPr>
          <w:p w14:paraId="3FA9BC9F" w14:textId="7AED7500" w:rsidR="000F2999" w:rsidRPr="00DA2E87" w:rsidRDefault="000F2999" w:rsidP="000F2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5322">
              <w:rPr>
                <w:rFonts w:ascii="Times New Roman" w:hAnsi="Times New Roman" w:cs="Times New Roman"/>
                <w:sz w:val="18"/>
                <w:szCs w:val="18"/>
              </w:rPr>
              <w:t>HAKOM</w:t>
            </w:r>
          </w:p>
        </w:tc>
        <w:tc>
          <w:tcPr>
            <w:tcW w:w="1842" w:type="dxa"/>
          </w:tcPr>
          <w:p w14:paraId="78A5A115" w14:textId="7C766003" w:rsidR="000F2999" w:rsidRPr="00DA2E87" w:rsidRDefault="000F2999" w:rsidP="000F2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XY-3</w:t>
            </w:r>
          </w:p>
        </w:tc>
        <w:tc>
          <w:tcPr>
            <w:tcW w:w="4570" w:type="dxa"/>
          </w:tcPr>
          <w:p w14:paraId="6B72738A" w14:textId="77777777" w:rsidR="000F2999" w:rsidRDefault="000F2999" w:rsidP="000F2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23.06.2017. – tužba – </w:t>
            </w:r>
            <w:r w:rsidRPr="00622C3D">
              <w:rPr>
                <w:rFonts w:ascii="Times New Roman" w:hAnsi="Times New Roman" w:cs="Times New Roman"/>
                <w:sz w:val="18"/>
                <w:szCs w:val="18"/>
              </w:rPr>
              <w:t>prvostupanjski postupak u tijeku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622C3D">
              <w:rPr>
                <w:rFonts w:ascii="Times New Roman" w:hAnsi="Times New Roman" w:cs="Times New Roman"/>
                <w:sz w:val="18"/>
                <w:szCs w:val="18"/>
              </w:rPr>
              <w:t>Općinski radni sud u Zagrebu,</w:t>
            </w:r>
          </w:p>
          <w:p w14:paraId="20C76CDF" w14:textId="77777777" w:rsidR="000F2999" w:rsidRDefault="000F2999" w:rsidP="000F2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4124">
              <w:rPr>
                <w:rFonts w:ascii="Times New Roman" w:hAnsi="Times New Roman" w:cs="Times New Roman"/>
                <w:sz w:val="18"/>
                <w:szCs w:val="18"/>
              </w:rPr>
              <w:t>04.11.2021. – održano ročište za glavnu raspravu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2C1C18B" w14:textId="1DA864AE" w:rsidR="000F2999" w:rsidRPr="00DA2E87" w:rsidRDefault="000F2999" w:rsidP="000F29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2023. – </w:t>
            </w:r>
            <w:r w:rsidRPr="00622C3D">
              <w:rPr>
                <w:rFonts w:ascii="Times New Roman" w:hAnsi="Times New Roman" w:cs="Times New Roman"/>
                <w:sz w:val="18"/>
                <w:szCs w:val="18"/>
              </w:rPr>
              <w:t>procijenjeno vrijeme priljeva i odljeva sredstava.</w:t>
            </w:r>
          </w:p>
        </w:tc>
      </w:tr>
      <w:tr w:rsidR="000F2999" w:rsidRPr="00DA2E87" w14:paraId="60E90AA2" w14:textId="77777777" w:rsidTr="00ED5791">
        <w:trPr>
          <w:trHeight w:val="1118"/>
        </w:trPr>
        <w:tc>
          <w:tcPr>
            <w:tcW w:w="675" w:type="dxa"/>
          </w:tcPr>
          <w:p w14:paraId="1D1A794C" w14:textId="2B747C4A" w:rsidR="000F2999" w:rsidRPr="00DA2E87" w:rsidRDefault="000F2999" w:rsidP="000F2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4. </w:t>
            </w:r>
          </w:p>
        </w:tc>
        <w:tc>
          <w:tcPr>
            <w:tcW w:w="2127" w:type="dxa"/>
          </w:tcPr>
          <w:p w14:paraId="4304E8CF" w14:textId="77777777" w:rsidR="000F2999" w:rsidRDefault="000F2999" w:rsidP="000F2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CB">
              <w:rPr>
                <w:rFonts w:ascii="Times New Roman" w:hAnsi="Times New Roman" w:cs="Times New Roman"/>
                <w:sz w:val="18"/>
                <w:szCs w:val="18"/>
              </w:rPr>
              <w:t>Klasa: 114-02/1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A20CCB">
              <w:rPr>
                <w:rFonts w:ascii="Times New Roman" w:hAnsi="Times New Roman" w:cs="Times New Roman"/>
                <w:sz w:val="18"/>
                <w:szCs w:val="18"/>
              </w:rPr>
              <w:t>-01/0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  <w:p w14:paraId="2E6413EF" w14:textId="77777777" w:rsidR="000F2999" w:rsidRDefault="000F2999" w:rsidP="000F2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Pr-1141/2016</w:t>
            </w:r>
          </w:p>
          <w:p w14:paraId="33021209" w14:textId="505D7D48" w:rsidR="000F2999" w:rsidRPr="00DA2E87" w:rsidRDefault="000F2999" w:rsidP="000F2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05F2D">
              <w:rPr>
                <w:rFonts w:ascii="Times New Roman" w:hAnsi="Times New Roman" w:cs="Times New Roman"/>
                <w:sz w:val="18"/>
                <w:szCs w:val="18"/>
              </w:rPr>
              <w:t>Pr-3065/2019</w:t>
            </w:r>
          </w:p>
        </w:tc>
        <w:tc>
          <w:tcPr>
            <w:tcW w:w="1984" w:type="dxa"/>
          </w:tcPr>
          <w:p w14:paraId="58DBEB17" w14:textId="77777777" w:rsidR="000F2999" w:rsidRDefault="000F2999" w:rsidP="000F2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Statusno </w:t>
            </w:r>
          </w:p>
          <w:p w14:paraId="0AB323FF" w14:textId="07D6ACC6" w:rsidR="000F2999" w:rsidRPr="00DA2E87" w:rsidRDefault="000F2999" w:rsidP="000F2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(r</w:t>
            </w:r>
            <w:r w:rsidRPr="00BF546B">
              <w:rPr>
                <w:rFonts w:ascii="Times New Roman" w:hAnsi="Times New Roman" w:cs="Times New Roman"/>
                <w:sz w:val="18"/>
                <w:szCs w:val="18"/>
              </w:rPr>
              <w:t>adi diskriminacije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26" w:type="dxa"/>
          </w:tcPr>
          <w:p w14:paraId="1578A982" w14:textId="39D990D6" w:rsidR="000F2999" w:rsidRPr="00DA2E87" w:rsidRDefault="000F2999" w:rsidP="000F2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240.800,00 kn</w:t>
            </w:r>
          </w:p>
        </w:tc>
        <w:tc>
          <w:tcPr>
            <w:tcW w:w="1560" w:type="dxa"/>
          </w:tcPr>
          <w:p w14:paraId="510B98B9" w14:textId="1FE8DB45" w:rsidR="000F2999" w:rsidRPr="00DA2E87" w:rsidRDefault="000F2999" w:rsidP="000F2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39C8">
              <w:rPr>
                <w:rFonts w:ascii="Times New Roman" w:hAnsi="Times New Roman" w:cs="Times New Roman"/>
                <w:sz w:val="18"/>
                <w:szCs w:val="18"/>
              </w:rPr>
              <w:t>HAKOM</w:t>
            </w:r>
          </w:p>
        </w:tc>
        <w:tc>
          <w:tcPr>
            <w:tcW w:w="1842" w:type="dxa"/>
          </w:tcPr>
          <w:p w14:paraId="17B11FE1" w14:textId="2BA79860" w:rsidR="000F2999" w:rsidRPr="00DA2E87" w:rsidRDefault="000F2999" w:rsidP="000F2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XY-4</w:t>
            </w:r>
          </w:p>
        </w:tc>
        <w:tc>
          <w:tcPr>
            <w:tcW w:w="4570" w:type="dxa"/>
          </w:tcPr>
          <w:p w14:paraId="737D2325" w14:textId="77777777" w:rsidR="000F2999" w:rsidRDefault="000F2999" w:rsidP="000F2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75BF3">
              <w:rPr>
                <w:rFonts w:ascii="Times New Roman" w:hAnsi="Times New Roman" w:cs="Times New Roman"/>
                <w:sz w:val="18"/>
                <w:szCs w:val="18"/>
              </w:rPr>
              <w:t>13.05.2016. – tužba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8E3718">
              <w:rPr>
                <w:rFonts w:ascii="Times New Roman" w:hAnsi="Times New Roman" w:cs="Times New Roman"/>
                <w:sz w:val="18"/>
                <w:szCs w:val="18"/>
              </w:rPr>
              <w:t>prvostupanjski postupak u tijeku – Općinski radni sud u Zagrebu,</w:t>
            </w:r>
          </w:p>
          <w:p w14:paraId="22BA439F" w14:textId="77777777" w:rsidR="000F2999" w:rsidRPr="00D75BF3" w:rsidRDefault="000F2999" w:rsidP="000F2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5F2D">
              <w:rPr>
                <w:rFonts w:ascii="Times New Roman" w:hAnsi="Times New Roman" w:cs="Times New Roman"/>
                <w:sz w:val="18"/>
                <w:szCs w:val="18"/>
              </w:rPr>
              <w:t>04.02.2022. – zakazana rasprava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0A76560" w14:textId="5EC0E3EE" w:rsidR="000F2999" w:rsidRPr="00DA2E87" w:rsidRDefault="000F2999" w:rsidP="000F29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D75BF3">
              <w:rPr>
                <w:rFonts w:ascii="Times New Roman" w:hAnsi="Times New Roman" w:cs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3. – </w:t>
            </w:r>
            <w:r w:rsidRPr="00D75BF3">
              <w:rPr>
                <w:rFonts w:ascii="Times New Roman" w:hAnsi="Times New Roman" w:cs="Times New Roman"/>
                <w:sz w:val="18"/>
                <w:szCs w:val="18"/>
              </w:rPr>
              <w:t>procijenjeno vrijeme priljeva i odljeva sredstava.</w:t>
            </w:r>
          </w:p>
        </w:tc>
      </w:tr>
      <w:tr w:rsidR="000F2999" w:rsidRPr="00DA2E87" w14:paraId="21519F6C" w14:textId="77777777" w:rsidTr="00ED5791">
        <w:trPr>
          <w:trHeight w:val="1158"/>
        </w:trPr>
        <w:tc>
          <w:tcPr>
            <w:tcW w:w="675" w:type="dxa"/>
          </w:tcPr>
          <w:p w14:paraId="6749E54E" w14:textId="22C6FA17" w:rsidR="000F2999" w:rsidRPr="00DA2E87" w:rsidRDefault="000F2999" w:rsidP="000F2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</w:t>
            </w:r>
          </w:p>
        </w:tc>
        <w:tc>
          <w:tcPr>
            <w:tcW w:w="2127" w:type="dxa"/>
          </w:tcPr>
          <w:p w14:paraId="0E7F78A1" w14:textId="77777777" w:rsidR="000F2999" w:rsidRDefault="000F2999" w:rsidP="000F2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369B7">
              <w:rPr>
                <w:rFonts w:ascii="Times New Roman" w:hAnsi="Times New Roman" w:cs="Times New Roman"/>
                <w:sz w:val="18"/>
                <w:szCs w:val="18"/>
              </w:rPr>
              <w:t>Klasa: 114-02/1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7-01/04</w:t>
            </w:r>
          </w:p>
          <w:p w14:paraId="1D9D3056" w14:textId="4B436213" w:rsidR="000F2999" w:rsidRPr="00DA2E87" w:rsidRDefault="000F2999" w:rsidP="000F2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546B">
              <w:rPr>
                <w:rFonts w:ascii="Times New Roman" w:hAnsi="Times New Roman" w:cs="Times New Roman"/>
                <w:sz w:val="18"/>
                <w:szCs w:val="18"/>
              </w:rPr>
              <w:t>Pr-1551/2017</w:t>
            </w:r>
          </w:p>
        </w:tc>
        <w:tc>
          <w:tcPr>
            <w:tcW w:w="1984" w:type="dxa"/>
          </w:tcPr>
          <w:p w14:paraId="3A2D4F5A" w14:textId="77777777" w:rsidR="000F2999" w:rsidRDefault="000F2999" w:rsidP="000F2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BC7">
              <w:rPr>
                <w:rFonts w:ascii="Times New Roman" w:hAnsi="Times New Roman" w:cs="Times New Roman"/>
                <w:sz w:val="18"/>
                <w:szCs w:val="18"/>
              </w:rPr>
              <w:t xml:space="preserve">Statusno </w:t>
            </w:r>
          </w:p>
          <w:p w14:paraId="5DC624AD" w14:textId="774A02F0" w:rsidR="000F2999" w:rsidRPr="00DA2E87" w:rsidRDefault="000F2999" w:rsidP="000F2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5BC7">
              <w:rPr>
                <w:rFonts w:ascii="Times New Roman" w:hAnsi="Times New Roman" w:cs="Times New Roman"/>
                <w:sz w:val="18"/>
                <w:szCs w:val="18"/>
              </w:rPr>
              <w:t>(radi nedopuštenosti otkaza)</w:t>
            </w:r>
          </w:p>
        </w:tc>
        <w:tc>
          <w:tcPr>
            <w:tcW w:w="2126" w:type="dxa"/>
          </w:tcPr>
          <w:p w14:paraId="6D5FA9D2" w14:textId="77777777" w:rsidR="000F2999" w:rsidRPr="00F32FF7" w:rsidRDefault="000F2999" w:rsidP="000F2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2" w:name="OLE_LINK1"/>
            <w:r>
              <w:rPr>
                <w:rFonts w:ascii="Times New Roman" w:hAnsi="Times New Roman" w:cs="Times New Roman"/>
                <w:sz w:val="18"/>
                <w:szCs w:val="18"/>
              </w:rPr>
              <w:t>430.560,00 kn</w:t>
            </w:r>
            <w:bookmarkEnd w:id="2"/>
          </w:p>
          <w:p w14:paraId="019EA2E5" w14:textId="77777777" w:rsidR="000F2999" w:rsidRPr="00DA2E87" w:rsidRDefault="000F2999" w:rsidP="000F2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14:paraId="3DDBD766" w14:textId="27C7A140" w:rsidR="000F2999" w:rsidRPr="00DA2E87" w:rsidRDefault="000F2999" w:rsidP="000F2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139C8">
              <w:rPr>
                <w:rFonts w:ascii="Times New Roman" w:hAnsi="Times New Roman" w:cs="Times New Roman"/>
                <w:sz w:val="18"/>
                <w:szCs w:val="18"/>
              </w:rPr>
              <w:t>HAKOM</w:t>
            </w:r>
          </w:p>
        </w:tc>
        <w:tc>
          <w:tcPr>
            <w:tcW w:w="1842" w:type="dxa"/>
          </w:tcPr>
          <w:p w14:paraId="6AC18C34" w14:textId="68EE8036" w:rsidR="000F2999" w:rsidRPr="00DA2E87" w:rsidRDefault="000F2999" w:rsidP="000F2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XY-5</w:t>
            </w:r>
          </w:p>
        </w:tc>
        <w:tc>
          <w:tcPr>
            <w:tcW w:w="4570" w:type="dxa"/>
          </w:tcPr>
          <w:p w14:paraId="5CC08375" w14:textId="77777777" w:rsidR="000F2999" w:rsidRPr="00610E5E" w:rsidRDefault="000F2999" w:rsidP="000F2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10E5E">
              <w:rPr>
                <w:rFonts w:ascii="Times New Roman" w:hAnsi="Times New Roman" w:cs="Times New Roman"/>
                <w:sz w:val="18"/>
                <w:szCs w:val="18"/>
              </w:rPr>
              <w:t>11.08.2017. – tužba,</w:t>
            </w:r>
          </w:p>
          <w:p w14:paraId="60800A33" w14:textId="77777777" w:rsidR="000F2999" w:rsidRDefault="000F2999" w:rsidP="000F2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27.09.2018. – </w:t>
            </w:r>
            <w:r w:rsidRPr="00610E5E">
              <w:rPr>
                <w:rFonts w:ascii="Times New Roman" w:hAnsi="Times New Roman" w:cs="Times New Roman"/>
                <w:sz w:val="18"/>
                <w:szCs w:val="18"/>
              </w:rPr>
              <w:t>rješenje Općinskog radnog sud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a u Zagrebu – prekid postupka </w:t>
            </w:r>
            <w:r w:rsidRPr="00610E5E">
              <w:rPr>
                <w:rFonts w:ascii="Times New Roman" w:hAnsi="Times New Roman" w:cs="Times New Roman"/>
                <w:sz w:val="18"/>
                <w:szCs w:val="18"/>
              </w:rPr>
              <w:t>do pravomoćnosti postupka koji se vodi po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d poslovnim brojem Pr-1201/2017,</w:t>
            </w:r>
          </w:p>
          <w:p w14:paraId="66854269" w14:textId="2B14398B" w:rsidR="000F2999" w:rsidRPr="00DA2E87" w:rsidRDefault="000F2999" w:rsidP="000F29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2023. – </w:t>
            </w:r>
            <w:r w:rsidRPr="00B31FBE">
              <w:rPr>
                <w:rFonts w:ascii="Times New Roman" w:hAnsi="Times New Roman" w:cs="Times New Roman"/>
                <w:sz w:val="18"/>
                <w:szCs w:val="18"/>
              </w:rPr>
              <w:t>procijenjeno vrijeme priljeva i odljeva sredstava.</w:t>
            </w:r>
          </w:p>
        </w:tc>
      </w:tr>
      <w:tr w:rsidR="00E53520" w:rsidRPr="00DA2E87" w14:paraId="1FB54377" w14:textId="77777777" w:rsidTr="00ED5791">
        <w:tc>
          <w:tcPr>
            <w:tcW w:w="675" w:type="dxa"/>
            <w:shd w:val="clear" w:color="auto" w:fill="D9D9D9" w:themeFill="background1" w:themeFillShade="D9"/>
          </w:tcPr>
          <w:p w14:paraId="535DAD94" w14:textId="77777777" w:rsidR="00E53520" w:rsidRPr="00DA2E87" w:rsidRDefault="00E53520" w:rsidP="00AA61A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2E87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Red.</w:t>
            </w:r>
          </w:p>
          <w:p w14:paraId="4BD8DB36" w14:textId="77777777" w:rsidR="00E53520" w:rsidRPr="00DA2E87" w:rsidRDefault="00E53520" w:rsidP="00AA61A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2E87">
              <w:rPr>
                <w:rFonts w:ascii="Times New Roman" w:hAnsi="Times New Roman" w:cs="Times New Roman"/>
                <w:b/>
                <w:sz w:val="22"/>
                <w:szCs w:val="22"/>
              </w:rPr>
              <w:t>br.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595E754A" w14:textId="77777777" w:rsidR="00E53520" w:rsidRPr="00DA2E87" w:rsidRDefault="00E53520" w:rsidP="00AA61A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2E87">
              <w:rPr>
                <w:rFonts w:ascii="Times New Roman" w:hAnsi="Times New Roman" w:cs="Times New Roman"/>
                <w:b/>
                <w:sz w:val="22"/>
                <w:szCs w:val="22"/>
              </w:rPr>
              <w:t>Sudska oznaka predmeta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14:paraId="17C68D73" w14:textId="77777777" w:rsidR="00E53520" w:rsidRPr="00DA2E87" w:rsidRDefault="00E53520" w:rsidP="00AA61A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2E87">
              <w:rPr>
                <w:rFonts w:ascii="Times New Roman" w:hAnsi="Times New Roman" w:cs="Times New Roman"/>
                <w:b/>
                <w:sz w:val="22"/>
                <w:szCs w:val="22"/>
              </w:rPr>
              <w:t>Vrsta tužbenog zahtjeva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72D2807" w14:textId="77777777" w:rsidR="00E53520" w:rsidRPr="00DA2E87" w:rsidRDefault="00E53520" w:rsidP="00AA61A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2E87">
              <w:rPr>
                <w:rFonts w:ascii="Times New Roman" w:hAnsi="Times New Roman" w:cs="Times New Roman"/>
                <w:b/>
                <w:sz w:val="22"/>
                <w:szCs w:val="22"/>
              </w:rPr>
              <w:t>Procjena financijskog učinka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A6577AC" w14:textId="77777777" w:rsidR="00E53520" w:rsidRPr="00DA2E87" w:rsidRDefault="00E53520" w:rsidP="00AA61A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2E87">
              <w:rPr>
                <w:rFonts w:ascii="Times New Roman" w:hAnsi="Times New Roman" w:cs="Times New Roman"/>
                <w:b/>
                <w:sz w:val="22"/>
                <w:szCs w:val="22"/>
              </w:rPr>
              <w:t>Tuženik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01ACE73E" w14:textId="77777777" w:rsidR="00E53520" w:rsidRPr="00DA2E87" w:rsidRDefault="00E53520" w:rsidP="00AA61A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2E87">
              <w:rPr>
                <w:rFonts w:ascii="Times New Roman" w:hAnsi="Times New Roman" w:cs="Times New Roman"/>
                <w:b/>
                <w:sz w:val="22"/>
                <w:szCs w:val="22"/>
              </w:rPr>
              <w:t>Tužitelj/ica</w:t>
            </w:r>
          </w:p>
        </w:tc>
        <w:tc>
          <w:tcPr>
            <w:tcW w:w="4570" w:type="dxa"/>
            <w:shd w:val="clear" w:color="auto" w:fill="D9D9D9" w:themeFill="background1" w:themeFillShade="D9"/>
          </w:tcPr>
          <w:p w14:paraId="612FDC42" w14:textId="77777777" w:rsidR="00E53520" w:rsidRPr="00DA2E87" w:rsidRDefault="00E53520" w:rsidP="00AA61A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2E87">
              <w:rPr>
                <w:rFonts w:ascii="Times New Roman" w:hAnsi="Times New Roman" w:cs="Times New Roman"/>
                <w:b/>
                <w:sz w:val="22"/>
                <w:szCs w:val="22"/>
              </w:rPr>
              <w:t>Tijek postupka/</w:t>
            </w:r>
          </w:p>
          <w:p w14:paraId="0421CCAA" w14:textId="77777777" w:rsidR="00E53520" w:rsidRPr="00DA2E87" w:rsidRDefault="00E53520" w:rsidP="00AA61A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A2E87">
              <w:rPr>
                <w:rFonts w:ascii="Times New Roman" w:hAnsi="Times New Roman" w:cs="Times New Roman"/>
                <w:b/>
                <w:sz w:val="22"/>
                <w:szCs w:val="22"/>
              </w:rPr>
              <w:t>Procijenjeno vrijeme priljeva i odljeva sredstava</w:t>
            </w:r>
          </w:p>
        </w:tc>
      </w:tr>
      <w:tr w:rsidR="000F2999" w:rsidRPr="00DA2E87" w14:paraId="185D5A02" w14:textId="77777777" w:rsidTr="00ED5791">
        <w:trPr>
          <w:trHeight w:val="937"/>
        </w:trPr>
        <w:tc>
          <w:tcPr>
            <w:tcW w:w="675" w:type="dxa"/>
          </w:tcPr>
          <w:p w14:paraId="07E9FE6E" w14:textId="07F36309" w:rsidR="000F2999" w:rsidRPr="00DA2E87" w:rsidRDefault="000F2999" w:rsidP="000F2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</w:t>
            </w:r>
          </w:p>
        </w:tc>
        <w:tc>
          <w:tcPr>
            <w:tcW w:w="2127" w:type="dxa"/>
            <w:shd w:val="clear" w:color="auto" w:fill="FFFFFF" w:themeFill="background1"/>
          </w:tcPr>
          <w:p w14:paraId="257C78D6" w14:textId="77777777" w:rsidR="000F2999" w:rsidRPr="00A20CCB" w:rsidRDefault="000F2999" w:rsidP="000F2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CB">
              <w:rPr>
                <w:rFonts w:ascii="Times New Roman" w:hAnsi="Times New Roman" w:cs="Times New Roman"/>
                <w:sz w:val="18"/>
                <w:szCs w:val="18"/>
              </w:rPr>
              <w:t>Klasa: 114-02/18-01/04</w:t>
            </w:r>
          </w:p>
          <w:p w14:paraId="33345D5E" w14:textId="77777777" w:rsidR="000F2999" w:rsidRDefault="000F2999" w:rsidP="000F2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20CCB">
              <w:rPr>
                <w:rFonts w:ascii="Times New Roman" w:hAnsi="Times New Roman" w:cs="Times New Roman"/>
                <w:sz w:val="18"/>
                <w:szCs w:val="18"/>
              </w:rPr>
              <w:t>Pr-4809/2018</w:t>
            </w:r>
          </w:p>
          <w:p w14:paraId="7AEEBEC1" w14:textId="77777777" w:rsidR="000F2999" w:rsidRDefault="000F2999" w:rsidP="000F2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6A0D">
              <w:rPr>
                <w:rFonts w:ascii="Times New Roman" w:hAnsi="Times New Roman" w:cs="Times New Roman"/>
                <w:sz w:val="18"/>
                <w:szCs w:val="18"/>
              </w:rPr>
              <w:t>Gž R-1123/2019</w:t>
            </w:r>
          </w:p>
          <w:p w14:paraId="3418E9A0" w14:textId="77777777" w:rsidR="000F2999" w:rsidRDefault="000F2999" w:rsidP="000F2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03B8">
              <w:rPr>
                <w:rFonts w:ascii="Times New Roman" w:hAnsi="Times New Roman" w:cs="Times New Roman"/>
                <w:sz w:val="18"/>
                <w:szCs w:val="18"/>
              </w:rPr>
              <w:t>Pr-6942/2020</w:t>
            </w:r>
          </w:p>
          <w:p w14:paraId="5AEB7545" w14:textId="3AC76E2D" w:rsidR="000F2999" w:rsidRPr="00DA2E87" w:rsidRDefault="000F2999" w:rsidP="000F2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4E6E">
              <w:rPr>
                <w:rFonts w:ascii="Times New Roman" w:hAnsi="Times New Roman" w:cs="Times New Roman"/>
                <w:sz w:val="18"/>
                <w:szCs w:val="18"/>
              </w:rPr>
              <w:t>Gž R-1810/2021</w:t>
            </w:r>
          </w:p>
        </w:tc>
        <w:tc>
          <w:tcPr>
            <w:tcW w:w="1984" w:type="dxa"/>
            <w:shd w:val="clear" w:color="auto" w:fill="FFFFFF" w:themeFill="background1"/>
          </w:tcPr>
          <w:p w14:paraId="4563840D" w14:textId="77777777" w:rsidR="000F2999" w:rsidRDefault="000F2999" w:rsidP="000F2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6FF">
              <w:rPr>
                <w:rFonts w:ascii="Times New Roman" w:hAnsi="Times New Roman" w:cs="Times New Roman"/>
                <w:sz w:val="18"/>
                <w:szCs w:val="18"/>
              </w:rPr>
              <w:t xml:space="preserve">Statusno </w:t>
            </w:r>
          </w:p>
          <w:p w14:paraId="66F62336" w14:textId="15CDBCD1" w:rsidR="000F2999" w:rsidRPr="00DA2E87" w:rsidRDefault="000F2999" w:rsidP="000F2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646FF">
              <w:rPr>
                <w:rFonts w:ascii="Times New Roman" w:hAnsi="Times New Roman" w:cs="Times New Roman"/>
                <w:sz w:val="18"/>
                <w:szCs w:val="18"/>
              </w:rPr>
              <w:t>(utvrđenje radnog odnosa)</w:t>
            </w:r>
          </w:p>
        </w:tc>
        <w:tc>
          <w:tcPr>
            <w:tcW w:w="2126" w:type="dxa"/>
            <w:shd w:val="clear" w:color="auto" w:fill="FFFFFF" w:themeFill="background1"/>
          </w:tcPr>
          <w:p w14:paraId="0BB1B041" w14:textId="4D3A5F67" w:rsidR="000F2999" w:rsidRPr="00DA2E87" w:rsidRDefault="000F2999" w:rsidP="000F2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Nije određena</w:t>
            </w:r>
          </w:p>
        </w:tc>
        <w:tc>
          <w:tcPr>
            <w:tcW w:w="1560" w:type="dxa"/>
            <w:shd w:val="clear" w:color="auto" w:fill="FFFFFF" w:themeFill="background1"/>
          </w:tcPr>
          <w:p w14:paraId="3AC354BA" w14:textId="445E63D0" w:rsidR="000F2999" w:rsidRPr="00DA2E87" w:rsidRDefault="000F2999" w:rsidP="000F2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HAKOM</w:t>
            </w:r>
          </w:p>
        </w:tc>
        <w:tc>
          <w:tcPr>
            <w:tcW w:w="1842" w:type="dxa"/>
            <w:shd w:val="clear" w:color="auto" w:fill="FFFFFF" w:themeFill="background1"/>
          </w:tcPr>
          <w:p w14:paraId="7296365D" w14:textId="04E395EA" w:rsidR="000F2999" w:rsidRPr="00DA2E87" w:rsidRDefault="000F2999" w:rsidP="000F2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XY-6</w:t>
            </w:r>
          </w:p>
        </w:tc>
        <w:tc>
          <w:tcPr>
            <w:tcW w:w="4570" w:type="dxa"/>
            <w:shd w:val="clear" w:color="auto" w:fill="FFFFFF" w:themeFill="background1"/>
          </w:tcPr>
          <w:p w14:paraId="2DB76C2A" w14:textId="77777777" w:rsidR="000F2999" w:rsidRDefault="000F2999" w:rsidP="000F2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16.05.2019. – presuda </w:t>
            </w:r>
            <w:r w:rsidRPr="00F401CC">
              <w:rPr>
                <w:rFonts w:ascii="Times New Roman" w:hAnsi="Times New Roman" w:cs="Times New Roman"/>
                <w:sz w:val="18"/>
                <w:szCs w:val="18"/>
              </w:rPr>
              <w:t>Općinskog radnog suda u Zagrebu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70BD423A" w14:textId="77777777" w:rsidR="000F2999" w:rsidRDefault="000F2999" w:rsidP="000F2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F401CC">
              <w:rPr>
                <w:rFonts w:ascii="Times New Roman" w:hAnsi="Times New Roman" w:cs="Times New Roman"/>
                <w:sz w:val="18"/>
                <w:szCs w:val="18"/>
              </w:rPr>
              <w:t>27.05.2019.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izjavljena žalba tužitelja,</w:t>
            </w:r>
          </w:p>
          <w:p w14:paraId="27A29A0A" w14:textId="77777777" w:rsidR="000F2999" w:rsidRDefault="000F2999" w:rsidP="000F2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23C04">
              <w:rPr>
                <w:rFonts w:ascii="Times New Roman" w:hAnsi="Times New Roman" w:cs="Times New Roman"/>
                <w:sz w:val="18"/>
                <w:szCs w:val="18"/>
              </w:rPr>
              <w:t xml:space="preserve">19.05.2020. – Rješenje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Županijskog suda u Zagrebu </w:t>
            </w:r>
            <w:r w:rsidRPr="00C23C04">
              <w:rPr>
                <w:rFonts w:ascii="Times New Roman" w:hAnsi="Times New Roman" w:cs="Times New Roman"/>
                <w:sz w:val="18"/>
                <w:szCs w:val="18"/>
              </w:rPr>
              <w:t>– ukinuta 1.st. presuda i pr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edmet vraćen na ponovno suđenje,</w:t>
            </w:r>
          </w:p>
          <w:p w14:paraId="23FC4BEC" w14:textId="77777777" w:rsidR="000F2999" w:rsidRDefault="000F2999" w:rsidP="000F2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30.11</w:t>
            </w:r>
            <w:r w:rsidRPr="001E4E6E">
              <w:rPr>
                <w:rFonts w:ascii="Times New Roman" w:hAnsi="Times New Roman" w:cs="Times New Roman"/>
                <w:sz w:val="18"/>
                <w:szCs w:val="18"/>
              </w:rPr>
              <w:t xml:space="preserve">.2021. – Županijski sud u Zagrebu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presuda – odbijena žalba HAKOM-a,</w:t>
            </w:r>
          </w:p>
          <w:p w14:paraId="6A429BBC" w14:textId="20F971DB" w:rsidR="000F2999" w:rsidRPr="00DA2E87" w:rsidRDefault="000F2999" w:rsidP="000F29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2023. – </w:t>
            </w:r>
            <w:r w:rsidRPr="008D5467">
              <w:rPr>
                <w:rFonts w:ascii="Times New Roman" w:hAnsi="Times New Roman" w:cs="Times New Roman"/>
                <w:sz w:val="18"/>
                <w:szCs w:val="18"/>
              </w:rPr>
              <w:t>procijenjeno vrijeme priljeva i odljeva sredstava.</w:t>
            </w:r>
          </w:p>
        </w:tc>
      </w:tr>
      <w:tr w:rsidR="000F2999" w:rsidRPr="00DA2E87" w14:paraId="7AC9C163" w14:textId="77777777" w:rsidTr="00ED5791">
        <w:trPr>
          <w:trHeight w:val="993"/>
        </w:trPr>
        <w:tc>
          <w:tcPr>
            <w:tcW w:w="675" w:type="dxa"/>
          </w:tcPr>
          <w:p w14:paraId="5052C8FB" w14:textId="2353BB87" w:rsidR="000F2999" w:rsidRPr="00DA2E87" w:rsidRDefault="000F2999" w:rsidP="000F2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</w:t>
            </w:r>
          </w:p>
        </w:tc>
        <w:tc>
          <w:tcPr>
            <w:tcW w:w="2127" w:type="dxa"/>
            <w:shd w:val="clear" w:color="auto" w:fill="FFFFFF" w:themeFill="background1"/>
          </w:tcPr>
          <w:p w14:paraId="4C6E518D" w14:textId="77777777" w:rsidR="000F2999" w:rsidRPr="00395660" w:rsidRDefault="000F2999" w:rsidP="000F2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Klasa: 114-02/19</w:t>
            </w:r>
            <w:r w:rsidRPr="00395660">
              <w:rPr>
                <w:rFonts w:ascii="Times New Roman" w:hAnsi="Times New Roman" w:cs="Times New Roman"/>
                <w:sz w:val="18"/>
                <w:szCs w:val="18"/>
              </w:rPr>
              <w:t>-01/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  <w:p w14:paraId="3F3B733A" w14:textId="77777777" w:rsidR="000F2999" w:rsidRDefault="000F2999" w:rsidP="000F2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Pr-1813</w:t>
            </w:r>
            <w:r w:rsidRPr="00395660">
              <w:rPr>
                <w:rFonts w:ascii="Times New Roman" w:hAnsi="Times New Roman" w:cs="Times New Roman"/>
                <w:sz w:val="18"/>
                <w:szCs w:val="18"/>
              </w:rPr>
              <w:t>/201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  <w:p w14:paraId="60BC9A76" w14:textId="66C04C36" w:rsidR="000F2999" w:rsidRPr="00DA2E87" w:rsidRDefault="000F2999" w:rsidP="000F2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763F9">
              <w:rPr>
                <w:rFonts w:ascii="Times New Roman" w:hAnsi="Times New Roman" w:cs="Times New Roman"/>
                <w:sz w:val="18"/>
                <w:szCs w:val="18"/>
              </w:rPr>
              <w:t>Gž R-1364/2021</w:t>
            </w:r>
          </w:p>
        </w:tc>
        <w:tc>
          <w:tcPr>
            <w:tcW w:w="1984" w:type="dxa"/>
            <w:shd w:val="clear" w:color="auto" w:fill="FFFFFF" w:themeFill="background1"/>
          </w:tcPr>
          <w:p w14:paraId="5ED85CF7" w14:textId="77777777" w:rsidR="000F2999" w:rsidRPr="00980EC2" w:rsidRDefault="000F2999" w:rsidP="000F2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EC2">
              <w:rPr>
                <w:rFonts w:ascii="Times New Roman" w:hAnsi="Times New Roman" w:cs="Times New Roman"/>
                <w:sz w:val="18"/>
                <w:szCs w:val="18"/>
              </w:rPr>
              <w:t xml:space="preserve">Statusno </w:t>
            </w:r>
          </w:p>
          <w:p w14:paraId="190A7754" w14:textId="2D73551C" w:rsidR="000F2999" w:rsidRPr="00DA2E87" w:rsidRDefault="000F2999" w:rsidP="000F2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EC2">
              <w:rPr>
                <w:rFonts w:ascii="Times New Roman" w:hAnsi="Times New Roman" w:cs="Times New Roman"/>
                <w:sz w:val="18"/>
                <w:szCs w:val="18"/>
              </w:rPr>
              <w:t>(utvrđenje radnog odnosa)</w:t>
            </w:r>
          </w:p>
        </w:tc>
        <w:tc>
          <w:tcPr>
            <w:tcW w:w="2126" w:type="dxa"/>
            <w:shd w:val="clear" w:color="auto" w:fill="FFFFFF" w:themeFill="background1"/>
          </w:tcPr>
          <w:p w14:paraId="419092B4" w14:textId="36F3CDAB" w:rsidR="000F2999" w:rsidRPr="00DA2E87" w:rsidRDefault="000F2999" w:rsidP="000F2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80EC2">
              <w:rPr>
                <w:rFonts w:ascii="Times New Roman" w:hAnsi="Times New Roman" w:cs="Times New Roman"/>
                <w:sz w:val="18"/>
                <w:szCs w:val="18"/>
              </w:rPr>
              <w:t>Nije određena</w:t>
            </w:r>
          </w:p>
        </w:tc>
        <w:tc>
          <w:tcPr>
            <w:tcW w:w="1560" w:type="dxa"/>
            <w:shd w:val="clear" w:color="auto" w:fill="FFFFFF" w:themeFill="background1"/>
          </w:tcPr>
          <w:p w14:paraId="6258DE47" w14:textId="460EABB8" w:rsidR="000F2999" w:rsidRPr="00DA2E87" w:rsidRDefault="000F2999" w:rsidP="000F2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HAKOM</w:t>
            </w:r>
          </w:p>
        </w:tc>
        <w:tc>
          <w:tcPr>
            <w:tcW w:w="1842" w:type="dxa"/>
            <w:shd w:val="clear" w:color="auto" w:fill="FFFFFF" w:themeFill="background1"/>
          </w:tcPr>
          <w:p w14:paraId="0654304C" w14:textId="1BE8F933" w:rsidR="000F2999" w:rsidRPr="00DA2E87" w:rsidRDefault="000F2999" w:rsidP="000F299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XY-7</w:t>
            </w:r>
          </w:p>
        </w:tc>
        <w:tc>
          <w:tcPr>
            <w:tcW w:w="4570" w:type="dxa"/>
            <w:shd w:val="clear" w:color="auto" w:fill="FFFFFF" w:themeFill="background1"/>
          </w:tcPr>
          <w:p w14:paraId="19961E2F" w14:textId="77777777" w:rsidR="000F2999" w:rsidRDefault="000F2999" w:rsidP="000F2999">
            <w:pPr>
              <w:jc w:val="both"/>
            </w:pPr>
            <w:r w:rsidRPr="00AB63AE">
              <w:rPr>
                <w:rFonts w:ascii="Times New Roman" w:hAnsi="Times New Roman" w:cs="Times New Roman"/>
                <w:sz w:val="18"/>
                <w:szCs w:val="18"/>
              </w:rPr>
              <w:t>20.05.2019.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r w:rsidRPr="00FE61B8">
              <w:rPr>
                <w:rFonts w:ascii="Times New Roman" w:hAnsi="Times New Roman" w:cs="Times New Roman"/>
                <w:sz w:val="18"/>
                <w:szCs w:val="18"/>
              </w:rPr>
              <w:t>prvostupanjski postupak u tijeku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Općinski radni sud u Zagrebu,</w:t>
            </w:r>
          </w:p>
          <w:p w14:paraId="2F10A7B3" w14:textId="77777777" w:rsidR="000F2999" w:rsidRDefault="000F2999" w:rsidP="000F299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763F9">
              <w:rPr>
                <w:rFonts w:ascii="Times New Roman" w:hAnsi="Times New Roman" w:cs="Times New Roman"/>
                <w:sz w:val="18"/>
                <w:szCs w:val="18"/>
              </w:rPr>
              <w:t>24.11.2021. – Županijski sud u Splitu – rješenje –  odbijena žalba kao neosnovana – potvrđeno rješenje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o prekidu postupka </w:t>
            </w:r>
            <w:r w:rsidRPr="005763F9">
              <w:rPr>
                <w:rFonts w:ascii="Times New Roman" w:hAnsi="Times New Roman" w:cs="Times New Roman"/>
                <w:sz w:val="18"/>
                <w:szCs w:val="18"/>
              </w:rPr>
              <w:t>Općinskog radnog suda u Zagrebu od 20.08.2021.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14:paraId="558F7008" w14:textId="2CFE4177" w:rsidR="000F2999" w:rsidRPr="00DA2E87" w:rsidRDefault="000F2999" w:rsidP="000F299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2023. – </w:t>
            </w:r>
            <w:r w:rsidRPr="00AB63AE">
              <w:rPr>
                <w:rFonts w:ascii="Times New Roman" w:hAnsi="Times New Roman" w:cs="Times New Roman"/>
                <w:sz w:val="18"/>
                <w:szCs w:val="18"/>
              </w:rPr>
              <w:t>procijenjeno vrijeme priljeva i odljeva sredstava.</w:t>
            </w:r>
          </w:p>
        </w:tc>
      </w:tr>
      <w:tr w:rsidR="000C295E" w:rsidRPr="00DA2E87" w14:paraId="7BCDB7EA" w14:textId="77777777" w:rsidTr="00ED5791">
        <w:trPr>
          <w:trHeight w:val="683"/>
        </w:trPr>
        <w:tc>
          <w:tcPr>
            <w:tcW w:w="675" w:type="dxa"/>
            <w:shd w:val="clear" w:color="auto" w:fill="D9D9D9" w:themeFill="background1" w:themeFillShade="D9"/>
          </w:tcPr>
          <w:p w14:paraId="270C00DC" w14:textId="77777777" w:rsidR="000C295E" w:rsidRPr="00DA2E87" w:rsidRDefault="000C295E" w:rsidP="000C29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1289C3D4" w14:textId="77777777" w:rsidR="000C295E" w:rsidRPr="00DA2E87" w:rsidRDefault="000C295E" w:rsidP="000C29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984" w:type="dxa"/>
            <w:shd w:val="clear" w:color="auto" w:fill="D9D9D9" w:themeFill="background1" w:themeFillShade="D9"/>
          </w:tcPr>
          <w:p w14:paraId="4A2A4F91" w14:textId="4D2640B0" w:rsidR="000C295E" w:rsidRPr="00DA2E87" w:rsidRDefault="000C295E" w:rsidP="000C295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A5FC6">
              <w:rPr>
                <w:rFonts w:ascii="Times New Roman" w:hAnsi="Times New Roman" w:cs="Times New Roman"/>
                <w:b/>
              </w:rPr>
              <w:t>UKUPNO: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543B4651" w14:textId="5EAF305B" w:rsidR="000C295E" w:rsidRPr="00DA2E87" w:rsidRDefault="000C295E" w:rsidP="000C295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574DB">
              <w:rPr>
                <w:rFonts w:ascii="Times New Roman" w:hAnsi="Times New Roman" w:cs="Times New Roman"/>
                <w:b/>
              </w:rPr>
              <w:t>841.008,15 kn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010566B3" w14:textId="77777777" w:rsidR="000C295E" w:rsidRPr="00DA2E87" w:rsidRDefault="000C295E" w:rsidP="000C29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47418944" w14:textId="77777777" w:rsidR="000C295E" w:rsidRPr="00DA2E87" w:rsidRDefault="000C295E" w:rsidP="000C295E">
            <w:pPr>
              <w:spacing w:line="480" w:lineRule="auto"/>
              <w:jc w:val="center"/>
              <w:rPr>
                <w:b/>
              </w:rPr>
            </w:pPr>
          </w:p>
        </w:tc>
        <w:tc>
          <w:tcPr>
            <w:tcW w:w="4570" w:type="dxa"/>
            <w:shd w:val="clear" w:color="auto" w:fill="D9D9D9" w:themeFill="background1" w:themeFillShade="D9"/>
          </w:tcPr>
          <w:p w14:paraId="61AE7427" w14:textId="77777777" w:rsidR="000C295E" w:rsidRPr="00F91B7B" w:rsidRDefault="000C295E" w:rsidP="000C295E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1B7B">
              <w:rPr>
                <w:rFonts w:ascii="Times New Roman" w:hAnsi="Times New Roman" w:cs="Times New Roman"/>
                <w:b/>
                <w:sz w:val="18"/>
                <w:szCs w:val="18"/>
              </w:rPr>
              <w:t>NAPOMENA:</w:t>
            </w:r>
          </w:p>
          <w:p w14:paraId="66F26306" w14:textId="7CAAF507" w:rsidR="000C295E" w:rsidRPr="00DA2E87" w:rsidRDefault="000C295E" w:rsidP="000C295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91B7B">
              <w:rPr>
                <w:rFonts w:ascii="Times New Roman" w:hAnsi="Times New Roman" w:cs="Times New Roman"/>
                <w:sz w:val="18"/>
                <w:szCs w:val="18"/>
              </w:rPr>
              <w:t xml:space="preserve">uz ukupan iznos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procjene financijskog učinka </w:t>
            </w:r>
            <w:r w:rsidRPr="00F91B7B">
              <w:rPr>
                <w:rFonts w:ascii="Times New Roman" w:hAnsi="Times New Roman" w:cs="Times New Roman"/>
                <w:sz w:val="18"/>
                <w:szCs w:val="18"/>
              </w:rPr>
              <w:t>treba računati na kamate i parnične troškove.</w:t>
            </w:r>
          </w:p>
        </w:tc>
      </w:tr>
    </w:tbl>
    <w:p w14:paraId="0013A1CA" w14:textId="77777777" w:rsidR="00746C31" w:rsidRDefault="00746C31" w:rsidP="00A65998">
      <w:pPr>
        <w:sectPr w:rsidR="00746C31" w:rsidSect="00746C31">
          <w:pgSz w:w="16838" w:h="11906" w:orient="landscape" w:code="9"/>
          <w:pgMar w:top="1134" w:right="1701" w:bottom="1134" w:left="1559" w:header="340" w:footer="454" w:gutter="0"/>
          <w:cols w:space="708"/>
          <w:docGrid w:linePitch="360"/>
        </w:sectPr>
      </w:pPr>
    </w:p>
    <w:p w14:paraId="5529A6F7" w14:textId="5600EA5F" w:rsidR="001F5A39" w:rsidRPr="007616A7" w:rsidRDefault="00A65998" w:rsidP="001F5A39">
      <w:pPr>
        <w:numPr>
          <w:ilvl w:val="0"/>
          <w:numId w:val="11"/>
        </w:numPr>
        <w:spacing w:after="160" w:line="259" w:lineRule="auto"/>
        <w:ind w:left="426" w:hanging="426"/>
        <w:contextualSpacing/>
        <w:jc w:val="both"/>
        <w:rPr>
          <w:rFonts w:eastAsia="Calibri"/>
          <w:b/>
          <w:lang w:eastAsia="en-US"/>
        </w:rPr>
      </w:pPr>
      <w:r w:rsidRPr="007616A7">
        <w:rPr>
          <w:rFonts w:eastAsia="Calibri"/>
          <w:b/>
          <w:lang w:eastAsia="en-US"/>
        </w:rPr>
        <w:lastRenderedPageBreak/>
        <w:t xml:space="preserve">BILJEŠKE UZ </w:t>
      </w:r>
      <w:r w:rsidR="001F5A39" w:rsidRPr="007616A7">
        <w:rPr>
          <w:rFonts w:eastAsia="Calibri"/>
          <w:b/>
          <w:lang w:eastAsia="en-US"/>
        </w:rPr>
        <w:t xml:space="preserve">IZVJEŠTAJ O RASHODIMA PREMA FUNKCIJSKOJ KLASIFIKACIJI (OBRAZAC RAS – funkcijski)   </w:t>
      </w:r>
    </w:p>
    <w:p w14:paraId="39F73011" w14:textId="77777777" w:rsidR="001F5A39" w:rsidRPr="007616A7" w:rsidRDefault="001F5A39" w:rsidP="001F5A39">
      <w:pPr>
        <w:suppressAutoHyphens/>
        <w:spacing w:after="160" w:line="259" w:lineRule="auto"/>
        <w:ind w:left="426"/>
        <w:contextualSpacing/>
        <w:rPr>
          <w:rFonts w:eastAsia="Calibri"/>
          <w:b/>
          <w:lang w:eastAsia="en-US"/>
        </w:rPr>
      </w:pPr>
    </w:p>
    <w:p w14:paraId="5AFBC9F3" w14:textId="7E92CED4" w:rsidR="001F5A39" w:rsidRPr="007616A7" w:rsidRDefault="001F5A39" w:rsidP="00833082">
      <w:pPr>
        <w:suppressAutoHyphens/>
        <w:spacing w:line="259" w:lineRule="auto"/>
        <w:jc w:val="both"/>
        <w:rPr>
          <w:rFonts w:eastAsia="Calibri"/>
          <w:lang w:eastAsia="en-US"/>
        </w:rPr>
      </w:pPr>
      <w:r w:rsidRPr="007616A7">
        <w:rPr>
          <w:rFonts w:eastAsia="Calibri"/>
          <w:lang w:eastAsia="en-US"/>
        </w:rPr>
        <w:t xml:space="preserve">Za izvještajno razdoblje ukupni rashodi poslovanja i rashodi za nabavu nefinancijske imovine iznosili su </w:t>
      </w:r>
      <w:r w:rsidR="00F75123" w:rsidRPr="007616A7">
        <w:rPr>
          <w:rFonts w:eastAsia="Calibri"/>
          <w:lang w:eastAsia="en-US"/>
        </w:rPr>
        <w:t>85.078.901</w:t>
      </w:r>
      <w:r w:rsidRPr="007616A7">
        <w:rPr>
          <w:rFonts w:eastAsia="Calibri"/>
          <w:lang w:eastAsia="en-US"/>
        </w:rPr>
        <w:t xml:space="preserve"> kn, a prikazani su u funkcijskoj klasifikaciji 0486 - Istraživanje i razvoj: Komunikacije – AOP 068.</w:t>
      </w:r>
      <w:r w:rsidR="00A458D5" w:rsidRPr="007616A7">
        <w:rPr>
          <w:rFonts w:eastAsia="Calibri"/>
          <w:lang w:eastAsia="en-US"/>
        </w:rPr>
        <w:t xml:space="preserve"> </w:t>
      </w:r>
      <w:r w:rsidR="00F75123" w:rsidRPr="007616A7">
        <w:rPr>
          <w:rFonts w:eastAsia="Calibri"/>
          <w:lang w:eastAsia="en-US"/>
        </w:rPr>
        <w:t xml:space="preserve"> </w:t>
      </w:r>
    </w:p>
    <w:p w14:paraId="6993B573" w14:textId="3944986F" w:rsidR="00833082" w:rsidRDefault="00833082" w:rsidP="00833082">
      <w:pPr>
        <w:suppressAutoHyphens/>
        <w:spacing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</w:t>
      </w:r>
    </w:p>
    <w:p w14:paraId="4D0603E9" w14:textId="77777777" w:rsidR="00833082" w:rsidRPr="007616A7" w:rsidRDefault="00833082" w:rsidP="00833082">
      <w:pPr>
        <w:suppressAutoHyphens/>
        <w:spacing w:line="259" w:lineRule="auto"/>
        <w:jc w:val="both"/>
        <w:rPr>
          <w:rFonts w:eastAsia="Calibri"/>
          <w:lang w:eastAsia="en-US"/>
        </w:rPr>
      </w:pPr>
    </w:p>
    <w:p w14:paraId="1943F19F" w14:textId="00418020" w:rsidR="001F5A39" w:rsidRPr="007616A7" w:rsidRDefault="001F5A39" w:rsidP="00833082">
      <w:pPr>
        <w:numPr>
          <w:ilvl w:val="0"/>
          <w:numId w:val="11"/>
        </w:numPr>
        <w:suppressAutoHyphens/>
        <w:spacing w:line="259" w:lineRule="auto"/>
        <w:ind w:left="426" w:hanging="426"/>
        <w:contextualSpacing/>
        <w:jc w:val="both"/>
        <w:rPr>
          <w:rFonts w:eastAsia="Calibri"/>
          <w:b/>
          <w:lang w:eastAsia="en-US"/>
        </w:rPr>
      </w:pPr>
      <w:r w:rsidRPr="007616A7">
        <w:rPr>
          <w:rFonts w:eastAsia="Calibri"/>
          <w:b/>
          <w:lang w:eastAsia="en-US"/>
        </w:rPr>
        <w:t>BILJEŠKE UZ IZVJEŠTAJ O PROMJENAMA U VRIJEDNOSTI I OB</w:t>
      </w:r>
      <w:r w:rsidR="00307D4B" w:rsidRPr="007616A7">
        <w:rPr>
          <w:rFonts w:eastAsia="Calibri"/>
          <w:b/>
          <w:lang w:eastAsia="en-US"/>
        </w:rPr>
        <w:t>U</w:t>
      </w:r>
      <w:r w:rsidRPr="007616A7">
        <w:rPr>
          <w:rFonts w:eastAsia="Calibri"/>
          <w:b/>
          <w:lang w:eastAsia="en-US"/>
        </w:rPr>
        <w:t xml:space="preserve">JMU IMOVINE I OBVEZA (OBRAZAC P-VRIO)   </w:t>
      </w:r>
    </w:p>
    <w:p w14:paraId="5E991908" w14:textId="77777777" w:rsidR="001F5A39" w:rsidRPr="00941AF0" w:rsidRDefault="001F5A39" w:rsidP="001F5A39">
      <w:pPr>
        <w:suppressAutoHyphens/>
        <w:spacing w:after="160" w:line="259" w:lineRule="auto"/>
        <w:ind w:left="426"/>
        <w:contextualSpacing/>
        <w:rPr>
          <w:rFonts w:eastAsia="Calibri"/>
          <w:b/>
          <w:lang w:eastAsia="en-US"/>
        </w:rPr>
      </w:pPr>
    </w:p>
    <w:p w14:paraId="2473A0A1" w14:textId="49F36D32" w:rsidR="0014467F" w:rsidRDefault="0014467F" w:rsidP="00032D50">
      <w:pPr>
        <w:suppressAutoHyphens/>
        <w:spacing w:line="259" w:lineRule="auto"/>
        <w:jc w:val="both"/>
        <w:rPr>
          <w:rFonts w:eastAsia="Calibri"/>
          <w:lang w:eastAsia="en-US"/>
        </w:rPr>
      </w:pPr>
      <w:r w:rsidRPr="00941AF0">
        <w:rPr>
          <w:rFonts w:eastAsia="Calibri"/>
          <w:lang w:eastAsia="en-US"/>
        </w:rPr>
        <w:t xml:space="preserve">Smanjenje u vrijednosti imovine u iznosu </w:t>
      </w:r>
      <w:r w:rsidR="00794585" w:rsidRPr="00941AF0">
        <w:rPr>
          <w:rFonts w:eastAsia="Calibri"/>
          <w:lang w:eastAsia="en-US"/>
        </w:rPr>
        <w:t xml:space="preserve">od </w:t>
      </w:r>
      <w:r w:rsidR="00184F36" w:rsidRPr="00941AF0">
        <w:rPr>
          <w:rFonts w:eastAsia="Calibri"/>
          <w:lang w:eastAsia="en-US"/>
        </w:rPr>
        <w:t>330</w:t>
      </w:r>
      <w:r w:rsidR="00794585" w:rsidRPr="00941AF0">
        <w:rPr>
          <w:rFonts w:eastAsia="Calibri"/>
          <w:lang w:eastAsia="en-US"/>
        </w:rPr>
        <w:t xml:space="preserve"> kn (AOP 005) se odnosi na </w:t>
      </w:r>
      <w:r w:rsidR="00995A96" w:rsidRPr="00941AF0">
        <w:rPr>
          <w:rFonts w:eastAsia="Calibri"/>
          <w:lang w:eastAsia="en-US"/>
        </w:rPr>
        <w:t xml:space="preserve">rashodovanje </w:t>
      </w:r>
      <w:r w:rsidR="00995A96" w:rsidRPr="007616A7">
        <w:rPr>
          <w:rFonts w:eastAsia="Calibri"/>
          <w:lang w:eastAsia="en-US"/>
        </w:rPr>
        <w:t>nefinancijske proizvedene dugotrajne imovine</w:t>
      </w:r>
      <w:r w:rsidR="0053611C" w:rsidRPr="007616A7">
        <w:rPr>
          <w:rFonts w:eastAsia="Calibri"/>
          <w:lang w:eastAsia="en-US"/>
        </w:rPr>
        <w:t xml:space="preserve"> koja je zbrinuta kao elektronički otpad.</w:t>
      </w:r>
    </w:p>
    <w:p w14:paraId="0EB4BB16" w14:textId="77777777" w:rsidR="00032D50" w:rsidRPr="007616A7" w:rsidRDefault="00032D50" w:rsidP="00032D50">
      <w:pPr>
        <w:suppressAutoHyphens/>
        <w:spacing w:line="259" w:lineRule="auto"/>
        <w:jc w:val="both"/>
        <w:rPr>
          <w:rFonts w:eastAsia="Calibri"/>
          <w:lang w:eastAsia="en-US"/>
        </w:rPr>
      </w:pPr>
    </w:p>
    <w:p w14:paraId="245555C5" w14:textId="0DF2BA1E" w:rsidR="001F5A39" w:rsidRDefault="00B02464" w:rsidP="00833082">
      <w:pPr>
        <w:suppressAutoHyphens/>
        <w:spacing w:line="259" w:lineRule="auto"/>
        <w:jc w:val="both"/>
        <w:rPr>
          <w:rFonts w:eastAsia="Calibri"/>
          <w:lang w:eastAsia="en-US"/>
        </w:rPr>
      </w:pPr>
      <w:r w:rsidRPr="007616A7">
        <w:rPr>
          <w:rFonts w:eastAsia="Calibri"/>
          <w:lang w:eastAsia="en-US"/>
        </w:rPr>
        <w:t>Smanjen</w:t>
      </w:r>
      <w:r w:rsidR="007448D5" w:rsidRPr="007616A7">
        <w:rPr>
          <w:rFonts w:eastAsia="Calibri"/>
          <w:lang w:eastAsia="en-US"/>
        </w:rPr>
        <w:t xml:space="preserve">je u obujmu </w:t>
      </w:r>
      <w:r w:rsidR="00184F36" w:rsidRPr="007616A7">
        <w:rPr>
          <w:rFonts w:eastAsia="Calibri"/>
          <w:lang w:eastAsia="en-US"/>
        </w:rPr>
        <w:t xml:space="preserve">financijske </w:t>
      </w:r>
      <w:r w:rsidR="007448D5" w:rsidRPr="007616A7">
        <w:rPr>
          <w:rFonts w:eastAsia="Calibri"/>
          <w:lang w:eastAsia="en-US"/>
        </w:rPr>
        <w:t xml:space="preserve">imovine u iznosu od </w:t>
      </w:r>
      <w:r w:rsidR="0003145F" w:rsidRPr="007616A7">
        <w:rPr>
          <w:rFonts w:eastAsia="Calibri"/>
          <w:lang w:eastAsia="en-US"/>
        </w:rPr>
        <w:t>257.131</w:t>
      </w:r>
      <w:r w:rsidR="007448D5" w:rsidRPr="007616A7">
        <w:rPr>
          <w:rFonts w:eastAsia="Calibri"/>
          <w:lang w:eastAsia="en-US"/>
        </w:rPr>
        <w:t xml:space="preserve"> kn (AOP 032) se odnosi na otpis </w:t>
      </w:r>
      <w:r w:rsidR="00054A60" w:rsidRPr="007616A7">
        <w:rPr>
          <w:rFonts w:eastAsia="Calibri"/>
          <w:lang w:eastAsia="en-US"/>
        </w:rPr>
        <w:t xml:space="preserve">zastarjelih </w:t>
      </w:r>
      <w:r w:rsidR="007448D5" w:rsidRPr="007616A7">
        <w:rPr>
          <w:rFonts w:eastAsia="Calibri"/>
          <w:lang w:eastAsia="en-US"/>
        </w:rPr>
        <w:t>potraživanja za prihode poslovanja</w:t>
      </w:r>
      <w:r w:rsidR="00941AF0" w:rsidRPr="007616A7">
        <w:rPr>
          <w:rFonts w:eastAsia="Calibri"/>
          <w:lang w:eastAsia="en-US"/>
        </w:rPr>
        <w:t xml:space="preserve"> koja </w:t>
      </w:r>
      <w:r w:rsidR="007616A7" w:rsidRPr="007616A7">
        <w:rPr>
          <w:rFonts w:eastAsia="Calibri"/>
          <w:lang w:eastAsia="en-US"/>
        </w:rPr>
        <w:t>nije moguće</w:t>
      </w:r>
      <w:r w:rsidR="0028006C" w:rsidRPr="007616A7">
        <w:rPr>
          <w:rFonts w:eastAsia="Calibri"/>
          <w:lang w:eastAsia="en-US"/>
        </w:rPr>
        <w:t xml:space="preserve"> naplatiti jer su </w:t>
      </w:r>
      <w:r w:rsidR="007616A7" w:rsidRPr="007616A7">
        <w:rPr>
          <w:rFonts w:eastAsia="Calibri"/>
          <w:lang w:eastAsia="en-US"/>
        </w:rPr>
        <w:t>poslovni subjekti</w:t>
      </w:r>
      <w:r w:rsidR="00941AF0" w:rsidRPr="007616A7">
        <w:rPr>
          <w:rFonts w:eastAsia="Calibri"/>
          <w:lang w:eastAsia="en-US"/>
        </w:rPr>
        <w:t xml:space="preserve"> ugašeni i brisani iz sudskog registra</w:t>
      </w:r>
      <w:r w:rsidR="007448D5" w:rsidRPr="007616A7">
        <w:rPr>
          <w:rFonts w:eastAsia="Calibri"/>
          <w:lang w:eastAsia="en-US"/>
        </w:rPr>
        <w:t>.</w:t>
      </w:r>
      <w:r w:rsidR="007448D5">
        <w:rPr>
          <w:rFonts w:eastAsia="Calibri"/>
          <w:lang w:eastAsia="en-US"/>
        </w:rPr>
        <w:t xml:space="preserve"> </w:t>
      </w:r>
    </w:p>
    <w:p w14:paraId="7AD0D9E8" w14:textId="77777777" w:rsidR="00833082" w:rsidRDefault="00833082" w:rsidP="00833082">
      <w:pPr>
        <w:suppressAutoHyphens/>
        <w:spacing w:line="259" w:lineRule="auto"/>
        <w:jc w:val="both"/>
        <w:rPr>
          <w:rFonts w:eastAsia="Calibri"/>
          <w:lang w:eastAsia="en-US"/>
        </w:rPr>
      </w:pPr>
    </w:p>
    <w:p w14:paraId="233A60F2" w14:textId="77777777" w:rsidR="00833082" w:rsidRPr="006728DA" w:rsidRDefault="00833082" w:rsidP="00833082">
      <w:pPr>
        <w:suppressAutoHyphens/>
        <w:spacing w:line="259" w:lineRule="auto"/>
        <w:jc w:val="both"/>
        <w:rPr>
          <w:rFonts w:eastAsia="Calibri"/>
          <w:lang w:eastAsia="en-US"/>
        </w:rPr>
      </w:pPr>
    </w:p>
    <w:p w14:paraId="78C8371C" w14:textId="77777777" w:rsidR="001F5A39" w:rsidRPr="006728DA" w:rsidRDefault="001F5A39" w:rsidP="001F5A39">
      <w:pPr>
        <w:numPr>
          <w:ilvl w:val="0"/>
          <w:numId w:val="11"/>
        </w:numPr>
        <w:suppressAutoHyphens/>
        <w:spacing w:after="160" w:line="259" w:lineRule="auto"/>
        <w:ind w:left="426" w:hanging="426"/>
        <w:contextualSpacing/>
        <w:rPr>
          <w:rFonts w:eastAsia="Calibri"/>
          <w:b/>
          <w:lang w:eastAsia="en-US"/>
        </w:rPr>
      </w:pPr>
      <w:r w:rsidRPr="006728DA">
        <w:rPr>
          <w:rFonts w:eastAsia="Calibri"/>
          <w:b/>
          <w:lang w:eastAsia="en-US"/>
        </w:rPr>
        <w:t xml:space="preserve">BILJEŠKE UZ IZVJEŠTAJ O OBVEZAMA (OBRAZAC OBVEZE)   </w:t>
      </w:r>
    </w:p>
    <w:p w14:paraId="52FCD74B" w14:textId="77777777" w:rsidR="00A65998" w:rsidRDefault="00A65998" w:rsidP="00E919CB"/>
    <w:p w14:paraId="5659C74D" w14:textId="77777777" w:rsidR="00032D50" w:rsidRDefault="00A65998" w:rsidP="00032D50">
      <w:pPr>
        <w:suppressAutoHyphens/>
        <w:spacing w:line="259" w:lineRule="auto"/>
        <w:jc w:val="both"/>
        <w:rPr>
          <w:rFonts w:eastAsia="Calibri"/>
          <w:lang w:eastAsia="en-US"/>
        </w:rPr>
      </w:pPr>
      <w:r w:rsidRPr="00F3738C">
        <w:rPr>
          <w:rFonts w:eastAsia="Calibri"/>
          <w:lang w:eastAsia="en-US"/>
        </w:rPr>
        <w:t>Stanje obveza na dan 3</w:t>
      </w:r>
      <w:r w:rsidR="001F5A39">
        <w:rPr>
          <w:rFonts w:eastAsia="Calibri"/>
          <w:lang w:eastAsia="en-US"/>
        </w:rPr>
        <w:t>1</w:t>
      </w:r>
      <w:r w:rsidRPr="00F3738C">
        <w:rPr>
          <w:rFonts w:eastAsia="Calibri"/>
          <w:lang w:eastAsia="en-US"/>
        </w:rPr>
        <w:t xml:space="preserve">. </w:t>
      </w:r>
      <w:r w:rsidR="001F5A39">
        <w:rPr>
          <w:rFonts w:eastAsia="Calibri"/>
          <w:lang w:eastAsia="en-US"/>
        </w:rPr>
        <w:t>prosinca</w:t>
      </w:r>
      <w:r w:rsidRPr="00F3738C">
        <w:rPr>
          <w:rFonts w:eastAsia="Calibri"/>
          <w:lang w:eastAsia="en-US"/>
        </w:rPr>
        <w:t xml:space="preserve"> 20</w:t>
      </w:r>
      <w:r>
        <w:rPr>
          <w:rFonts w:eastAsia="Calibri"/>
          <w:lang w:eastAsia="en-US"/>
        </w:rPr>
        <w:t>2</w:t>
      </w:r>
      <w:r w:rsidR="00EB58EE">
        <w:rPr>
          <w:rFonts w:eastAsia="Calibri"/>
          <w:lang w:eastAsia="en-US"/>
        </w:rPr>
        <w:t>1</w:t>
      </w:r>
      <w:r w:rsidRPr="00F3738C">
        <w:rPr>
          <w:rFonts w:eastAsia="Calibri"/>
          <w:lang w:eastAsia="en-US"/>
        </w:rPr>
        <w:t xml:space="preserve">. iznosi </w:t>
      </w:r>
      <w:r w:rsidR="004D2C48" w:rsidRPr="004D2C48">
        <w:rPr>
          <w:rFonts w:eastAsia="Calibri"/>
          <w:lang w:eastAsia="en-US"/>
        </w:rPr>
        <w:t>5.244.025</w:t>
      </w:r>
      <w:r w:rsidR="004D2C48">
        <w:rPr>
          <w:rFonts w:eastAsia="Calibri"/>
          <w:lang w:eastAsia="en-US"/>
        </w:rPr>
        <w:t xml:space="preserve"> kn – AOP 038</w:t>
      </w:r>
      <w:r w:rsidRPr="00F3738C">
        <w:rPr>
          <w:rFonts w:eastAsia="Calibri"/>
          <w:lang w:eastAsia="en-US"/>
        </w:rPr>
        <w:t>.</w:t>
      </w:r>
    </w:p>
    <w:p w14:paraId="48DC40EC" w14:textId="4D3FA6B8" w:rsidR="00A65998" w:rsidRDefault="00A65998" w:rsidP="00032D50">
      <w:pPr>
        <w:suppressAutoHyphens/>
        <w:spacing w:line="259" w:lineRule="auto"/>
        <w:jc w:val="both"/>
        <w:rPr>
          <w:rFonts w:eastAsia="Calibri"/>
          <w:lang w:eastAsia="en-US"/>
        </w:rPr>
      </w:pPr>
      <w:r w:rsidRPr="00F3738C">
        <w:rPr>
          <w:rFonts w:eastAsia="Calibri"/>
          <w:lang w:eastAsia="en-US"/>
        </w:rPr>
        <w:t xml:space="preserve"> </w:t>
      </w:r>
    </w:p>
    <w:p w14:paraId="44B36E0F" w14:textId="591BD471" w:rsidR="00A65998" w:rsidRDefault="00A65998" w:rsidP="00032D50">
      <w:pPr>
        <w:suppressAutoHyphens/>
        <w:spacing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Ukupne nedospjele obveze u iznosu od </w:t>
      </w:r>
      <w:r w:rsidR="00D30F6E" w:rsidRPr="00D30F6E">
        <w:rPr>
          <w:rFonts w:eastAsia="Calibri"/>
          <w:lang w:eastAsia="en-US"/>
        </w:rPr>
        <w:t>5.244.025</w:t>
      </w:r>
      <w:r w:rsidR="00D30F6E">
        <w:rPr>
          <w:rFonts w:eastAsia="Calibri"/>
          <w:lang w:eastAsia="en-US"/>
        </w:rPr>
        <w:t xml:space="preserve"> kn (AOP 097</w:t>
      </w:r>
      <w:r>
        <w:rPr>
          <w:rFonts w:eastAsia="Calibri"/>
          <w:lang w:eastAsia="en-US"/>
        </w:rPr>
        <w:t xml:space="preserve">) najvećim dijelom se odnose na obvezu za isplatu plaće za </w:t>
      </w:r>
      <w:r w:rsidR="001F5A39">
        <w:rPr>
          <w:rFonts w:eastAsia="Calibri"/>
          <w:lang w:eastAsia="en-US"/>
        </w:rPr>
        <w:t>prosinac</w:t>
      </w:r>
      <w:r>
        <w:rPr>
          <w:rFonts w:eastAsia="Calibri"/>
          <w:lang w:eastAsia="en-US"/>
        </w:rPr>
        <w:t xml:space="preserve"> 202</w:t>
      </w:r>
      <w:r w:rsidR="00D30F6E">
        <w:rPr>
          <w:rFonts w:eastAsia="Calibri"/>
          <w:lang w:eastAsia="en-US"/>
        </w:rPr>
        <w:t>1</w:t>
      </w:r>
      <w:r>
        <w:rPr>
          <w:rFonts w:eastAsia="Calibri"/>
          <w:lang w:eastAsia="en-US"/>
        </w:rPr>
        <w:t>. te obveze prema dobavljačima. Iste su podmirene</w:t>
      </w:r>
      <w:r w:rsidR="00D30F6E">
        <w:rPr>
          <w:rFonts w:eastAsia="Calibri"/>
          <w:lang w:eastAsia="en-US"/>
        </w:rPr>
        <w:t xml:space="preserve"> u siječnju 2022</w:t>
      </w:r>
      <w:r>
        <w:rPr>
          <w:rFonts w:eastAsia="Calibri"/>
          <w:lang w:eastAsia="en-US"/>
        </w:rPr>
        <w:t>.</w:t>
      </w:r>
      <w:r w:rsidR="00A23C42">
        <w:rPr>
          <w:rFonts w:eastAsia="Calibri"/>
          <w:lang w:eastAsia="en-US"/>
        </w:rPr>
        <w:t xml:space="preserve"> </w:t>
      </w:r>
    </w:p>
    <w:p w14:paraId="3BED51AC" w14:textId="77777777" w:rsidR="00032D50" w:rsidRDefault="00032D50" w:rsidP="00032D50">
      <w:pPr>
        <w:suppressAutoHyphens/>
        <w:spacing w:line="259" w:lineRule="auto"/>
        <w:jc w:val="both"/>
        <w:rPr>
          <w:rFonts w:eastAsia="Calibri"/>
          <w:lang w:eastAsia="en-US"/>
        </w:rPr>
      </w:pPr>
    </w:p>
    <w:p w14:paraId="783AB9CB" w14:textId="77777777" w:rsidR="00242D81" w:rsidRDefault="00C92491" w:rsidP="00D703E2">
      <w:pPr>
        <w:suppressAutoHyphens/>
        <w:spacing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Stanje nedospjelih međusobnih obveza</w:t>
      </w:r>
      <w:r w:rsidRPr="00A23C42">
        <w:rPr>
          <w:rFonts w:eastAsia="Calibri"/>
          <w:lang w:eastAsia="en-US"/>
        </w:rPr>
        <w:t xml:space="preserve"> proračunskih korisnika</w:t>
      </w:r>
      <w:r>
        <w:rPr>
          <w:rFonts w:eastAsia="Calibri"/>
          <w:lang w:eastAsia="en-US"/>
        </w:rPr>
        <w:t xml:space="preserve"> na dan 31. prosinac 2021. iznosi 6.625 kn. </w:t>
      </w:r>
      <w:r w:rsidR="00807EFB">
        <w:rPr>
          <w:rFonts w:eastAsia="Calibri"/>
          <w:lang w:eastAsia="en-US"/>
        </w:rPr>
        <w:t xml:space="preserve">Međusobne obveze proračunskih korisnika </w:t>
      </w:r>
      <w:r w:rsidR="003E417D">
        <w:rPr>
          <w:rFonts w:eastAsia="Calibri"/>
          <w:lang w:eastAsia="en-US"/>
        </w:rPr>
        <w:t>tijekom 2021. odnosile su</w:t>
      </w:r>
      <w:r w:rsidR="00807EFB">
        <w:rPr>
          <w:rFonts w:eastAsia="Calibri"/>
          <w:lang w:eastAsia="en-US"/>
        </w:rPr>
        <w:t xml:space="preserve"> se na</w:t>
      </w:r>
      <w:r w:rsidR="008B40DC">
        <w:rPr>
          <w:rFonts w:eastAsia="Calibri"/>
          <w:lang w:eastAsia="en-US"/>
        </w:rPr>
        <w:t>:</w:t>
      </w:r>
      <w:r w:rsidR="00807EFB">
        <w:rPr>
          <w:rFonts w:eastAsia="Calibri"/>
          <w:lang w:eastAsia="en-US"/>
        </w:rPr>
        <w:t xml:space="preserve"> </w:t>
      </w:r>
    </w:p>
    <w:p w14:paraId="67CB9284" w14:textId="67E714A1" w:rsidR="00242D81" w:rsidRDefault="00807EFB" w:rsidP="00242D81">
      <w:pPr>
        <w:pStyle w:val="ListParagraph"/>
        <w:numPr>
          <w:ilvl w:val="0"/>
          <w:numId w:val="14"/>
        </w:numPr>
        <w:suppressAutoHyphens/>
        <w:spacing w:line="259" w:lineRule="auto"/>
        <w:jc w:val="both"/>
        <w:rPr>
          <w:rFonts w:eastAsia="Calibri"/>
          <w:lang w:eastAsia="en-US"/>
        </w:rPr>
      </w:pPr>
      <w:r w:rsidRPr="00242D81">
        <w:rPr>
          <w:rFonts w:eastAsia="Calibri"/>
          <w:lang w:eastAsia="en-US"/>
        </w:rPr>
        <w:t>računalne usluge (Srce - Sveučilišni računski centar Sveučilišta u Zagrebu</w:t>
      </w:r>
      <w:r w:rsidR="002F2831" w:rsidRPr="00242D81">
        <w:rPr>
          <w:rFonts w:eastAsia="Calibri"/>
          <w:lang w:eastAsia="en-US"/>
        </w:rPr>
        <w:t>)</w:t>
      </w:r>
      <w:r w:rsidR="00C92491" w:rsidRPr="00242D81">
        <w:rPr>
          <w:rFonts w:eastAsia="Calibri"/>
          <w:lang w:eastAsia="en-US"/>
        </w:rPr>
        <w:t xml:space="preserve"> </w:t>
      </w:r>
      <w:r w:rsidR="00242D81">
        <w:rPr>
          <w:rFonts w:eastAsia="Calibri"/>
          <w:lang w:eastAsia="en-US"/>
        </w:rPr>
        <w:t>-</w:t>
      </w:r>
      <w:r w:rsidR="002F2831" w:rsidRPr="00242D81">
        <w:rPr>
          <w:rFonts w:eastAsia="Calibri"/>
          <w:lang w:eastAsia="en-US"/>
        </w:rPr>
        <w:t xml:space="preserve"> stanje </w:t>
      </w:r>
      <w:r w:rsidR="00C92491" w:rsidRPr="00242D81">
        <w:rPr>
          <w:rFonts w:eastAsia="Calibri"/>
          <w:lang w:eastAsia="en-US"/>
        </w:rPr>
        <w:t>obveza</w:t>
      </w:r>
      <w:r w:rsidR="002F2831" w:rsidRPr="00242D81">
        <w:rPr>
          <w:rFonts w:eastAsia="Calibri"/>
          <w:lang w:eastAsia="en-US"/>
        </w:rPr>
        <w:t xml:space="preserve"> na dan 31. prosinca 2021.</w:t>
      </w:r>
      <w:r w:rsidR="00C92491" w:rsidRPr="00242D81">
        <w:rPr>
          <w:rFonts w:eastAsia="Calibri"/>
          <w:lang w:eastAsia="en-US"/>
        </w:rPr>
        <w:t xml:space="preserve"> iznosi</w:t>
      </w:r>
      <w:r w:rsidR="00CE11FF" w:rsidRPr="00242D81">
        <w:rPr>
          <w:rFonts w:eastAsia="Calibri"/>
          <w:lang w:eastAsia="en-US"/>
        </w:rPr>
        <w:t xml:space="preserve"> 1.875 kn</w:t>
      </w:r>
      <w:r w:rsidRPr="00242D81">
        <w:rPr>
          <w:rFonts w:eastAsia="Calibri"/>
          <w:lang w:eastAsia="en-US"/>
        </w:rPr>
        <w:t xml:space="preserve">, </w:t>
      </w:r>
    </w:p>
    <w:p w14:paraId="0873DAED" w14:textId="53E8EAF0" w:rsidR="00242D81" w:rsidRDefault="00807EFB" w:rsidP="00242D81">
      <w:pPr>
        <w:pStyle w:val="ListParagraph"/>
        <w:numPr>
          <w:ilvl w:val="0"/>
          <w:numId w:val="14"/>
        </w:numPr>
        <w:suppressAutoHyphens/>
        <w:spacing w:line="259" w:lineRule="auto"/>
        <w:jc w:val="both"/>
        <w:rPr>
          <w:rFonts w:eastAsia="Calibri"/>
          <w:lang w:eastAsia="en-US"/>
        </w:rPr>
      </w:pPr>
      <w:r w:rsidRPr="00242D81">
        <w:rPr>
          <w:rFonts w:eastAsia="Calibri"/>
          <w:lang w:eastAsia="en-US"/>
        </w:rPr>
        <w:t>stručno usavršavanje zaposlenika (</w:t>
      </w:r>
      <w:r w:rsidR="004B25A3" w:rsidRPr="00242D81">
        <w:rPr>
          <w:rFonts w:eastAsia="Calibri"/>
          <w:lang w:eastAsia="en-US"/>
        </w:rPr>
        <w:t>Pravni fakultet u Zagrebu</w:t>
      </w:r>
      <w:r w:rsidR="00B862B2" w:rsidRPr="00242D81">
        <w:rPr>
          <w:rFonts w:eastAsia="Calibri"/>
          <w:lang w:eastAsia="en-US"/>
        </w:rPr>
        <w:t xml:space="preserve"> – </w:t>
      </w:r>
      <w:r w:rsidR="004B25A3" w:rsidRPr="00242D81">
        <w:rPr>
          <w:rFonts w:eastAsia="Calibri"/>
          <w:lang w:eastAsia="en-US"/>
        </w:rPr>
        <w:t>stručni seminar iz područja javne nabave</w:t>
      </w:r>
      <w:r w:rsidR="00BD2B5A">
        <w:rPr>
          <w:rFonts w:eastAsia="Calibri"/>
          <w:lang w:eastAsia="en-US"/>
        </w:rPr>
        <w:t>;</w:t>
      </w:r>
      <w:r w:rsidRPr="00242D81">
        <w:rPr>
          <w:rFonts w:eastAsia="Calibri"/>
          <w:lang w:eastAsia="en-US"/>
        </w:rPr>
        <w:t xml:space="preserve"> </w:t>
      </w:r>
      <w:r w:rsidR="004B25A3" w:rsidRPr="00242D81">
        <w:rPr>
          <w:rFonts w:eastAsia="Calibri"/>
          <w:lang w:eastAsia="en-US"/>
        </w:rPr>
        <w:t>Hrvatski državni arhiv</w:t>
      </w:r>
      <w:r w:rsidR="00B862B2" w:rsidRPr="00242D81">
        <w:rPr>
          <w:rFonts w:eastAsia="Calibri"/>
          <w:lang w:eastAsia="en-US"/>
        </w:rPr>
        <w:t xml:space="preserve"> – </w:t>
      </w:r>
      <w:r w:rsidR="004B25A3" w:rsidRPr="00242D81">
        <w:rPr>
          <w:rFonts w:eastAsia="Calibri"/>
          <w:lang w:eastAsia="en-US"/>
        </w:rPr>
        <w:t>stručni seminar o uredskom poslovanju</w:t>
      </w:r>
      <w:r w:rsidRPr="00242D81">
        <w:rPr>
          <w:rFonts w:eastAsia="Calibri"/>
          <w:lang w:eastAsia="en-US"/>
        </w:rPr>
        <w:t xml:space="preserve">), </w:t>
      </w:r>
    </w:p>
    <w:p w14:paraId="55E3295B" w14:textId="77777777" w:rsidR="00242D81" w:rsidRDefault="004B25A3" w:rsidP="00242D81">
      <w:pPr>
        <w:pStyle w:val="ListParagraph"/>
        <w:numPr>
          <w:ilvl w:val="0"/>
          <w:numId w:val="14"/>
        </w:numPr>
        <w:suppressAutoHyphens/>
        <w:spacing w:line="259" w:lineRule="auto"/>
        <w:jc w:val="both"/>
        <w:rPr>
          <w:rFonts w:eastAsia="Calibri"/>
          <w:lang w:eastAsia="en-US"/>
        </w:rPr>
      </w:pPr>
      <w:r w:rsidRPr="00242D81">
        <w:rPr>
          <w:rFonts w:eastAsia="Calibri"/>
          <w:lang w:eastAsia="en-US"/>
        </w:rPr>
        <w:t>intelektualne usluge (Fakultet elektrotehnike i računarstva – analiza uporabe alternativnih IoT tehnologija; usluge savjetovanja vezano za tehnologije i arhitekture aplikacijskih sustava)</w:t>
      </w:r>
      <w:r w:rsidR="00807EFB" w:rsidRPr="00242D81">
        <w:rPr>
          <w:rFonts w:eastAsia="Calibri"/>
          <w:lang w:eastAsia="en-US"/>
        </w:rPr>
        <w:t>,</w:t>
      </w:r>
    </w:p>
    <w:p w14:paraId="45FB533A" w14:textId="77777777" w:rsidR="00242D81" w:rsidRDefault="00807EFB" w:rsidP="00242D81">
      <w:pPr>
        <w:pStyle w:val="ListParagraph"/>
        <w:numPr>
          <w:ilvl w:val="0"/>
          <w:numId w:val="14"/>
        </w:numPr>
        <w:suppressAutoHyphens/>
        <w:spacing w:line="259" w:lineRule="auto"/>
        <w:jc w:val="both"/>
        <w:rPr>
          <w:rFonts w:eastAsia="Calibri"/>
          <w:lang w:eastAsia="en-US"/>
        </w:rPr>
      </w:pPr>
      <w:r w:rsidRPr="00242D81">
        <w:rPr>
          <w:rFonts w:eastAsia="Calibri"/>
          <w:lang w:eastAsia="en-US"/>
        </w:rPr>
        <w:t>usluge promidžbe (Fakultet elektrotehnike i računarstva</w:t>
      </w:r>
      <w:r w:rsidR="001E49BB" w:rsidRPr="00242D81">
        <w:rPr>
          <w:rFonts w:eastAsia="Calibri"/>
          <w:lang w:eastAsia="en-US"/>
        </w:rPr>
        <w:t xml:space="preserve"> – ELMAR 202</w:t>
      </w:r>
      <w:r w:rsidR="00D16619" w:rsidRPr="00242D81">
        <w:rPr>
          <w:rFonts w:eastAsia="Calibri"/>
          <w:lang w:eastAsia="en-US"/>
        </w:rPr>
        <w:t>1</w:t>
      </w:r>
      <w:r w:rsidR="001E49BB" w:rsidRPr="00242D81">
        <w:rPr>
          <w:rFonts w:eastAsia="Calibri"/>
          <w:lang w:eastAsia="en-US"/>
        </w:rPr>
        <w:t>.</w:t>
      </w:r>
      <w:r w:rsidRPr="00242D81">
        <w:rPr>
          <w:rFonts w:eastAsia="Calibri"/>
          <w:lang w:eastAsia="en-US"/>
        </w:rPr>
        <w:t xml:space="preserve">), </w:t>
      </w:r>
    </w:p>
    <w:p w14:paraId="0DF7E1E4" w14:textId="77777777" w:rsidR="00242D81" w:rsidRDefault="00807EFB" w:rsidP="00242D81">
      <w:pPr>
        <w:pStyle w:val="ListParagraph"/>
        <w:numPr>
          <w:ilvl w:val="0"/>
          <w:numId w:val="14"/>
        </w:numPr>
        <w:suppressAutoHyphens/>
        <w:spacing w:line="259" w:lineRule="auto"/>
        <w:jc w:val="both"/>
        <w:rPr>
          <w:rFonts w:eastAsia="Calibri"/>
          <w:lang w:eastAsia="en-US"/>
        </w:rPr>
      </w:pPr>
      <w:r w:rsidRPr="00242D81">
        <w:rPr>
          <w:rFonts w:eastAsia="Calibri"/>
          <w:lang w:eastAsia="en-US"/>
        </w:rPr>
        <w:t>ostale usluge (Fakultet elektrotehnike i računarstva – projekt osoba s invaliditetom)</w:t>
      </w:r>
      <w:r w:rsidR="00D16619" w:rsidRPr="00242D81">
        <w:rPr>
          <w:rFonts w:eastAsia="Calibri"/>
          <w:lang w:eastAsia="en-US"/>
        </w:rPr>
        <w:t xml:space="preserve">, </w:t>
      </w:r>
    </w:p>
    <w:p w14:paraId="4A1A36A0" w14:textId="2201292C" w:rsidR="00242D81" w:rsidRDefault="00F764B8" w:rsidP="00242D81">
      <w:pPr>
        <w:pStyle w:val="ListParagraph"/>
        <w:numPr>
          <w:ilvl w:val="0"/>
          <w:numId w:val="14"/>
        </w:numPr>
        <w:suppressAutoHyphens/>
        <w:spacing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obveze za </w:t>
      </w:r>
      <w:r w:rsidR="00242D81" w:rsidRPr="00242D81">
        <w:rPr>
          <w:rFonts w:eastAsia="Calibri"/>
          <w:lang w:eastAsia="en-US"/>
        </w:rPr>
        <w:t xml:space="preserve">povrat pogrešno uplaćenih sredstava koja su </w:t>
      </w:r>
      <w:r w:rsidR="005B391E">
        <w:rPr>
          <w:rFonts w:eastAsia="Calibri"/>
          <w:lang w:eastAsia="en-US"/>
        </w:rPr>
        <w:t xml:space="preserve">poslovni subjekti </w:t>
      </w:r>
      <w:r w:rsidR="006D3B1D">
        <w:rPr>
          <w:rFonts w:eastAsia="Calibri"/>
          <w:lang w:eastAsia="en-US"/>
        </w:rPr>
        <w:t xml:space="preserve">umjesto u Državni proračun </w:t>
      </w:r>
      <w:r w:rsidR="00242D81" w:rsidRPr="00242D81">
        <w:rPr>
          <w:rFonts w:eastAsia="Calibri"/>
          <w:lang w:eastAsia="en-US"/>
        </w:rPr>
        <w:t xml:space="preserve">uplatili </w:t>
      </w:r>
      <w:r w:rsidR="001C343B">
        <w:rPr>
          <w:rFonts w:eastAsia="Calibri"/>
          <w:lang w:eastAsia="en-US"/>
        </w:rPr>
        <w:t xml:space="preserve">na žiro-račun </w:t>
      </w:r>
      <w:r w:rsidR="00242D81" w:rsidRPr="00242D81">
        <w:rPr>
          <w:rFonts w:eastAsia="Calibri"/>
          <w:lang w:eastAsia="en-US"/>
        </w:rPr>
        <w:t>HAKOM</w:t>
      </w:r>
      <w:r w:rsidR="001C343B">
        <w:rPr>
          <w:rFonts w:eastAsia="Calibri"/>
          <w:lang w:eastAsia="en-US"/>
        </w:rPr>
        <w:t>-a</w:t>
      </w:r>
      <w:r w:rsidR="006D3B1D">
        <w:rPr>
          <w:rFonts w:eastAsia="Calibri"/>
          <w:lang w:eastAsia="en-US"/>
        </w:rPr>
        <w:t xml:space="preserve"> (</w:t>
      </w:r>
      <w:r w:rsidR="004C6E85">
        <w:rPr>
          <w:rFonts w:eastAsia="Calibri"/>
          <w:lang w:eastAsia="en-US"/>
        </w:rPr>
        <w:t>naknade za upotrebu</w:t>
      </w:r>
      <w:r w:rsidR="006D3B1D">
        <w:rPr>
          <w:rFonts w:eastAsia="Calibri"/>
          <w:lang w:eastAsia="en-US"/>
        </w:rPr>
        <w:t xml:space="preserve"> </w:t>
      </w:r>
      <w:r w:rsidR="008B62B9">
        <w:rPr>
          <w:rFonts w:eastAsia="Calibri"/>
          <w:lang w:eastAsia="en-US"/>
        </w:rPr>
        <w:t>RF</w:t>
      </w:r>
      <w:r w:rsidR="006D3B1D">
        <w:rPr>
          <w:rFonts w:eastAsia="Calibri"/>
          <w:lang w:eastAsia="en-US"/>
        </w:rPr>
        <w:t xml:space="preserve"> spektra) –</w:t>
      </w:r>
      <w:r w:rsidR="00242D81">
        <w:rPr>
          <w:rFonts w:eastAsia="Calibri"/>
          <w:lang w:eastAsia="en-US"/>
        </w:rPr>
        <w:t xml:space="preserve"> </w:t>
      </w:r>
      <w:r w:rsidR="00242D81" w:rsidRPr="00242D81">
        <w:rPr>
          <w:rFonts w:eastAsia="Calibri"/>
          <w:lang w:eastAsia="en-US"/>
        </w:rPr>
        <w:t>stanje</w:t>
      </w:r>
      <w:r w:rsidR="006D3B1D">
        <w:rPr>
          <w:rFonts w:eastAsia="Calibri"/>
          <w:lang w:eastAsia="en-US"/>
        </w:rPr>
        <w:t xml:space="preserve"> </w:t>
      </w:r>
      <w:r w:rsidR="00242D81" w:rsidRPr="00242D81">
        <w:rPr>
          <w:rFonts w:eastAsia="Calibri"/>
          <w:lang w:eastAsia="en-US"/>
        </w:rPr>
        <w:t xml:space="preserve">obveza na dan 31. prosinca 2021. iznosi </w:t>
      </w:r>
      <w:r w:rsidR="00242D81">
        <w:rPr>
          <w:rFonts w:eastAsia="Calibri"/>
          <w:lang w:eastAsia="en-US"/>
        </w:rPr>
        <w:t>4.7</w:t>
      </w:r>
      <w:r w:rsidR="00242D81" w:rsidRPr="00242D81">
        <w:rPr>
          <w:rFonts w:eastAsia="Calibri"/>
          <w:lang w:eastAsia="en-US"/>
        </w:rPr>
        <w:t>5</w:t>
      </w:r>
      <w:r w:rsidR="00242D81">
        <w:rPr>
          <w:rFonts w:eastAsia="Calibri"/>
          <w:lang w:eastAsia="en-US"/>
        </w:rPr>
        <w:t>0</w:t>
      </w:r>
      <w:r w:rsidR="00242D81" w:rsidRPr="00242D81">
        <w:rPr>
          <w:rFonts w:eastAsia="Calibri"/>
          <w:lang w:eastAsia="en-US"/>
        </w:rPr>
        <w:t xml:space="preserve"> kn</w:t>
      </w:r>
      <w:r w:rsidR="00242D81">
        <w:rPr>
          <w:rFonts w:eastAsia="Calibri"/>
          <w:lang w:eastAsia="en-US"/>
        </w:rPr>
        <w:t>,</w:t>
      </w:r>
    </w:p>
    <w:p w14:paraId="7E48DEB1" w14:textId="1235D7C1" w:rsidR="001F58AF" w:rsidRDefault="004C6E85" w:rsidP="00032D50">
      <w:pPr>
        <w:pStyle w:val="ListParagraph"/>
        <w:numPr>
          <w:ilvl w:val="0"/>
          <w:numId w:val="14"/>
        </w:numPr>
        <w:suppressAutoHyphens/>
        <w:spacing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članarine</w:t>
      </w:r>
      <w:r w:rsidR="00242D81">
        <w:rPr>
          <w:rFonts w:eastAsia="Calibri"/>
          <w:lang w:eastAsia="en-US"/>
        </w:rPr>
        <w:t xml:space="preserve"> (Hrvatski zavod za norme) i drugo.</w:t>
      </w:r>
      <w:r w:rsidR="008A6DD0" w:rsidRPr="00242D81">
        <w:rPr>
          <w:rFonts w:eastAsia="Calibri"/>
          <w:lang w:eastAsia="en-US"/>
        </w:rPr>
        <w:t xml:space="preserve"> </w:t>
      </w:r>
      <w:r w:rsidR="00C92491" w:rsidRPr="00242D81">
        <w:rPr>
          <w:rFonts w:eastAsia="Calibri"/>
          <w:lang w:eastAsia="en-US"/>
        </w:rPr>
        <w:t xml:space="preserve"> </w:t>
      </w:r>
    </w:p>
    <w:p w14:paraId="0944122E" w14:textId="77777777" w:rsidR="00032D50" w:rsidRDefault="00032D50" w:rsidP="00032D50">
      <w:pPr>
        <w:pStyle w:val="ListParagraph"/>
        <w:suppressAutoHyphens/>
        <w:spacing w:line="259" w:lineRule="auto"/>
        <w:jc w:val="both"/>
        <w:rPr>
          <w:rFonts w:eastAsia="Calibri"/>
          <w:lang w:eastAsia="en-US"/>
        </w:rPr>
      </w:pPr>
    </w:p>
    <w:p w14:paraId="1652132E" w14:textId="4EA21060" w:rsidR="002476CA" w:rsidRPr="002476CA" w:rsidRDefault="002476CA" w:rsidP="002476CA">
      <w:pPr>
        <w:suppressAutoHyphens/>
        <w:spacing w:line="259" w:lineRule="auto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Ostale tekuće obveze na dan 31. prosinca 2021. su evidentirane u iznosu od 558.080 kn te su se odnosile na obveze za porez na dodanu vrijednost </w:t>
      </w:r>
      <w:r w:rsidR="00D4762E">
        <w:rPr>
          <w:rFonts w:eastAsia="Calibri"/>
          <w:lang w:eastAsia="en-US"/>
        </w:rPr>
        <w:t>na</w:t>
      </w:r>
      <w:r>
        <w:rPr>
          <w:rFonts w:eastAsia="Calibri"/>
          <w:lang w:eastAsia="en-US"/>
        </w:rPr>
        <w:t xml:space="preserve"> inozemne usluge za prosinac 2021. </w:t>
      </w:r>
      <w:r w:rsidR="00093F01">
        <w:rPr>
          <w:rFonts w:eastAsia="Calibri"/>
          <w:lang w:eastAsia="en-US"/>
        </w:rPr>
        <w:t>(43.550 kn)</w:t>
      </w:r>
      <w:r w:rsidR="00FD5A2B">
        <w:rPr>
          <w:rFonts w:eastAsia="Calibri"/>
          <w:lang w:eastAsia="en-US"/>
        </w:rPr>
        <w:t xml:space="preserve">, </w:t>
      </w:r>
      <w:r w:rsidR="00FD5A2B">
        <w:rPr>
          <w:rFonts w:eastAsia="Calibri"/>
          <w:lang w:eastAsia="en-US"/>
        </w:rPr>
        <w:lastRenderedPageBreak/>
        <w:t>obveze za</w:t>
      </w:r>
      <w:r w:rsidR="00093F01">
        <w:rPr>
          <w:rFonts w:eastAsia="Calibri"/>
          <w:lang w:eastAsia="en-US"/>
        </w:rPr>
        <w:t xml:space="preserve"> predujmove od kupaca </w:t>
      </w:r>
      <w:r w:rsidR="00ED1BF8">
        <w:rPr>
          <w:rFonts w:eastAsia="Calibri"/>
          <w:lang w:eastAsia="en-US"/>
        </w:rPr>
        <w:t xml:space="preserve">(249.394 kn), obveze za jamčevine za ozbiljnost ponude i uredno ispunjenje ugovora (260.386 kn) te obveze za povrat </w:t>
      </w:r>
      <w:r w:rsidR="00015CBF">
        <w:rPr>
          <w:rFonts w:eastAsia="Calibri"/>
          <w:lang w:eastAsia="en-US"/>
        </w:rPr>
        <w:t>u Državni proračun</w:t>
      </w:r>
      <w:r w:rsidR="00015CBF" w:rsidRPr="00ED1BF8">
        <w:rPr>
          <w:rFonts w:eastAsia="Calibri"/>
          <w:lang w:eastAsia="en-US"/>
        </w:rPr>
        <w:t xml:space="preserve"> </w:t>
      </w:r>
      <w:r w:rsidR="00ED1BF8" w:rsidRPr="00ED1BF8">
        <w:rPr>
          <w:rFonts w:eastAsia="Calibri"/>
          <w:lang w:eastAsia="en-US"/>
        </w:rPr>
        <w:t xml:space="preserve">pogrešno uplaćenih sredstava </w:t>
      </w:r>
      <w:r w:rsidR="00015CBF">
        <w:rPr>
          <w:rFonts w:eastAsia="Calibri"/>
          <w:lang w:eastAsia="en-US"/>
        </w:rPr>
        <w:t xml:space="preserve">za upotrebu RF spektra </w:t>
      </w:r>
      <w:r w:rsidR="00ED1BF8">
        <w:rPr>
          <w:rFonts w:eastAsia="Calibri"/>
          <w:lang w:eastAsia="en-US"/>
        </w:rPr>
        <w:t>(4.750 kn).</w:t>
      </w:r>
    </w:p>
    <w:p w14:paraId="14512DA0" w14:textId="77777777" w:rsidR="00D703E2" w:rsidRDefault="00D703E2" w:rsidP="00D703E2">
      <w:pPr>
        <w:suppressAutoHyphens/>
        <w:spacing w:line="259" w:lineRule="auto"/>
        <w:jc w:val="both"/>
        <w:rPr>
          <w:rFonts w:eastAsia="Calibri"/>
          <w:lang w:eastAsia="en-US"/>
        </w:rPr>
      </w:pPr>
    </w:p>
    <w:p w14:paraId="11A5EC86" w14:textId="77777777" w:rsidR="00833082" w:rsidRPr="000E7D95" w:rsidRDefault="00833082" w:rsidP="00D703E2">
      <w:pPr>
        <w:suppressAutoHyphens/>
        <w:spacing w:line="259" w:lineRule="auto"/>
        <w:jc w:val="both"/>
        <w:rPr>
          <w:rFonts w:eastAsia="Calibri"/>
          <w:lang w:eastAsia="en-US"/>
        </w:rPr>
      </w:pPr>
    </w:p>
    <w:p w14:paraId="26C36E2E" w14:textId="5292060D" w:rsidR="00A65998" w:rsidRPr="00D65CB4" w:rsidRDefault="001F5A39" w:rsidP="00A65998">
      <w:pPr>
        <w:suppressAutoHyphens/>
        <w:spacing w:after="160" w:line="259" w:lineRule="auto"/>
        <w:rPr>
          <w:rFonts w:eastAsia="Calibri"/>
          <w:lang w:eastAsia="en-US"/>
        </w:rPr>
      </w:pPr>
      <w:r w:rsidRPr="006728DA">
        <w:rPr>
          <w:rFonts w:eastAsia="Calibri"/>
          <w:lang w:eastAsia="en-US"/>
        </w:rPr>
        <w:t xml:space="preserve">U Zagrebu, </w:t>
      </w:r>
      <w:r>
        <w:rPr>
          <w:rFonts w:eastAsia="Calibri"/>
          <w:lang w:eastAsia="en-US"/>
        </w:rPr>
        <w:t>28</w:t>
      </w:r>
      <w:r w:rsidRPr="006728DA">
        <w:rPr>
          <w:rFonts w:eastAsia="Calibri"/>
          <w:lang w:eastAsia="en-US"/>
        </w:rPr>
        <w:t>. siječnja 20</w:t>
      </w:r>
      <w:r>
        <w:rPr>
          <w:rFonts w:eastAsia="Calibri"/>
          <w:lang w:eastAsia="en-US"/>
        </w:rPr>
        <w:t>2</w:t>
      </w:r>
      <w:r w:rsidR="00EB567B">
        <w:rPr>
          <w:rFonts w:eastAsia="Calibri"/>
          <w:lang w:eastAsia="en-US"/>
        </w:rPr>
        <w:t>2</w:t>
      </w:r>
      <w:r w:rsidRPr="006728DA">
        <w:rPr>
          <w:rFonts w:eastAsia="Calibri"/>
          <w:lang w:eastAsia="en-US"/>
        </w:rPr>
        <w:t>.</w:t>
      </w:r>
      <w:r w:rsidRPr="006728DA">
        <w:rPr>
          <w:rFonts w:eastAsia="Calibri"/>
          <w:lang w:eastAsia="en-US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01"/>
        <w:gridCol w:w="4837"/>
      </w:tblGrid>
      <w:tr w:rsidR="00A65998" w:rsidRPr="000E7D95" w14:paraId="71806AF9" w14:textId="77777777" w:rsidTr="00AA61AC">
        <w:tc>
          <w:tcPr>
            <w:tcW w:w="4927" w:type="dxa"/>
            <w:shd w:val="clear" w:color="auto" w:fill="auto"/>
          </w:tcPr>
          <w:p w14:paraId="32669FB9" w14:textId="77777777" w:rsidR="00A65998" w:rsidRPr="000E7D95" w:rsidRDefault="00A65998" w:rsidP="00AA61AC">
            <w:pPr>
              <w:suppressAutoHyphens/>
              <w:spacing w:after="160" w:line="259" w:lineRule="auto"/>
              <w:rPr>
                <w:rFonts w:ascii="HelveticaNeueLT Com 47 LtCn" w:eastAsia="Calibri" w:hAnsi="HelveticaNeueLT Com 47 LtCn"/>
                <w:sz w:val="22"/>
                <w:szCs w:val="22"/>
                <w:lang w:eastAsia="en-US"/>
              </w:rPr>
            </w:pPr>
          </w:p>
        </w:tc>
        <w:tc>
          <w:tcPr>
            <w:tcW w:w="4927" w:type="dxa"/>
            <w:shd w:val="clear" w:color="auto" w:fill="auto"/>
          </w:tcPr>
          <w:p w14:paraId="260A3AD9" w14:textId="77777777" w:rsidR="00A65998" w:rsidRPr="000E7D95" w:rsidRDefault="00A65998" w:rsidP="00AA61AC">
            <w:pPr>
              <w:tabs>
                <w:tab w:val="center" w:pos="7655"/>
              </w:tabs>
              <w:suppressAutoHyphens/>
              <w:spacing w:before="240" w:after="600"/>
              <w:jc w:val="center"/>
              <w:rPr>
                <w:b/>
                <w:i/>
                <w:caps/>
                <w:sz w:val="20"/>
              </w:rPr>
            </w:pPr>
            <w:r w:rsidRPr="000E7D95">
              <w:rPr>
                <w:b/>
                <w:i/>
                <w:caps/>
                <w:sz w:val="20"/>
              </w:rPr>
              <w:t>Predsjednik Vijeća</w:t>
            </w:r>
          </w:p>
        </w:tc>
      </w:tr>
      <w:tr w:rsidR="00A65998" w:rsidRPr="000E7D95" w14:paraId="58D7BF4A" w14:textId="77777777" w:rsidTr="00AA61AC">
        <w:tc>
          <w:tcPr>
            <w:tcW w:w="4927" w:type="dxa"/>
            <w:shd w:val="clear" w:color="auto" w:fill="auto"/>
          </w:tcPr>
          <w:p w14:paraId="6694D1FC" w14:textId="77777777" w:rsidR="00A65998" w:rsidRPr="000E7D95" w:rsidRDefault="00A65998" w:rsidP="00AA61AC">
            <w:pPr>
              <w:suppressAutoHyphens/>
              <w:spacing w:after="160" w:line="259" w:lineRule="auto"/>
              <w:rPr>
                <w:rFonts w:ascii="HelveticaNeueLT Com 47 LtCn" w:eastAsia="Calibri" w:hAnsi="HelveticaNeueLT Com 47 LtCn"/>
                <w:sz w:val="22"/>
                <w:szCs w:val="22"/>
                <w:lang w:eastAsia="en-US"/>
              </w:rPr>
            </w:pPr>
          </w:p>
        </w:tc>
        <w:tc>
          <w:tcPr>
            <w:tcW w:w="4927" w:type="dxa"/>
            <w:shd w:val="clear" w:color="auto" w:fill="auto"/>
          </w:tcPr>
          <w:p w14:paraId="76489061" w14:textId="77777777" w:rsidR="00A65998" w:rsidRPr="000E7D95" w:rsidRDefault="00A65998" w:rsidP="00AA61AC">
            <w:pPr>
              <w:tabs>
                <w:tab w:val="center" w:pos="7655"/>
              </w:tabs>
              <w:suppressAutoHyphens/>
              <w:spacing w:after="600"/>
              <w:jc w:val="center"/>
              <w:rPr>
                <w:b/>
                <w:i/>
                <w:sz w:val="22"/>
              </w:rPr>
            </w:pPr>
            <w:r w:rsidRPr="000E7D95">
              <w:rPr>
                <w:b/>
                <w:i/>
                <w:sz w:val="22"/>
              </w:rPr>
              <w:t>Tonko Obuljen</w:t>
            </w:r>
          </w:p>
        </w:tc>
      </w:tr>
    </w:tbl>
    <w:p w14:paraId="4BDF505C" w14:textId="77777777" w:rsidR="0081419C" w:rsidRPr="00A65998" w:rsidRDefault="0081419C" w:rsidP="00F57AE3"/>
    <w:sectPr w:rsidR="0081419C" w:rsidRPr="00A65998" w:rsidSect="00F57AE3">
      <w:pgSz w:w="11906" w:h="16838" w:code="9"/>
      <w:pgMar w:top="1701" w:right="1134" w:bottom="1418" w:left="1134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B254AD" w14:textId="77777777" w:rsidR="001B637A" w:rsidRDefault="001B637A">
      <w:r>
        <w:separator/>
      </w:r>
    </w:p>
  </w:endnote>
  <w:endnote w:type="continuationSeparator" w:id="0">
    <w:p w14:paraId="42E87C46" w14:textId="77777777" w:rsidR="001B637A" w:rsidRDefault="001B6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INCE-Regular">
    <w:altName w:val="Times New Roman"/>
    <w:panose1 w:val="00000000000000000000"/>
    <w:charset w:val="EE"/>
    <w:family w:val="auto"/>
    <w:notTrueType/>
    <w:pitch w:val="variable"/>
    <w:sig w:usb0="00000001" w:usb1="00000000" w:usb2="00000000" w:usb3="00000000" w:csb0="00000003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HelveticaNeueLT Com 47 LtCn">
    <w:altName w:val="Arial Narrow"/>
    <w:charset w:val="EE"/>
    <w:family w:val="swiss"/>
    <w:pitch w:val="variable"/>
    <w:sig w:usb0="00000001" w:usb1="10002042" w:usb2="00000000" w:usb3="00000000" w:csb0="0000009B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22266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4B9C21" w14:textId="20F8130A" w:rsidR="00AA61AC" w:rsidRDefault="00AA61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6665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128375D1" w14:textId="77777777" w:rsidR="00AA61AC" w:rsidRDefault="00AA61AC">
    <w:pPr>
      <w:pStyle w:val="Footer"/>
    </w:pPr>
  </w:p>
  <w:p w14:paraId="32FFB0C5" w14:textId="77777777" w:rsidR="00AA61AC" w:rsidRDefault="00AA61AC"/>
  <w:p w14:paraId="3074C8C8" w14:textId="77777777" w:rsidR="00AA61AC" w:rsidRDefault="00AA61AC"/>
  <w:p w14:paraId="777B4A45" w14:textId="77777777" w:rsidR="00AA61AC" w:rsidRDefault="00AA61A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1DD71" w14:textId="77777777" w:rsidR="00AA61AC" w:rsidRPr="008639AE" w:rsidRDefault="00AA61AC" w:rsidP="00192D15">
    <w:pPr>
      <w:pStyle w:val="Footer"/>
      <w:tabs>
        <w:tab w:val="clear" w:pos="4320"/>
        <w:tab w:val="clear" w:pos="8640"/>
      </w:tabs>
      <w:spacing w:line="240" w:lineRule="auto"/>
      <w:ind w:left="-357" w:right="-357"/>
      <w:rPr>
        <w:rFonts w:ascii="DINCE-Regular" w:hAnsi="DINCE-Regular"/>
      </w:rPr>
    </w:pPr>
    <w:r w:rsidRPr="008639AE">
      <w:rPr>
        <w:rFonts w:ascii="DINCE-Regular" w:hAnsi="DINCE-Regular"/>
        <w:noProof/>
      </w:rPr>
      <mc:AlternateContent>
        <mc:Choice Requires="wps">
          <w:drawing>
            <wp:inline distT="0" distB="0" distL="0" distR="0" wp14:anchorId="0851DD76" wp14:editId="0851DD77">
              <wp:extent cx="6480175" cy="0"/>
              <wp:effectExtent l="9525" t="9525" r="6350" b="9525"/>
              <wp:docPr id="1" name="Lin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1270">
                        <a:solidFill>
                          <a:srgbClr val="024182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18C03D77" id="Line 1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10.2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" strokecolor="#024182" strokeweight=".1pt">
              <w10:anchorlock/>
            </v:line>
          </w:pict>
        </mc:Fallback>
      </mc:AlternateContent>
    </w:r>
  </w:p>
  <w:p w14:paraId="0851DD72" w14:textId="77777777" w:rsidR="00AA61AC" w:rsidRPr="00605B1D" w:rsidRDefault="00AA61AC" w:rsidP="005B56E5">
    <w:pPr>
      <w:pStyle w:val="Footer"/>
      <w:tabs>
        <w:tab w:val="clear" w:pos="4320"/>
        <w:tab w:val="clear" w:pos="8640"/>
      </w:tabs>
      <w:spacing w:before="80"/>
      <w:rPr>
        <w:rFonts w:ascii="Corbel" w:hAnsi="Corbel"/>
        <w:b/>
        <w:sz w:val="15"/>
        <w:szCs w:val="15"/>
      </w:rPr>
    </w:pPr>
    <w:r w:rsidRPr="00605B1D">
      <w:rPr>
        <w:rFonts w:ascii="Corbel" w:hAnsi="Corbel"/>
        <w:b/>
        <w:sz w:val="15"/>
        <w:szCs w:val="15"/>
      </w:rPr>
      <w:t>HRVATSKA REGULATORNA AGENCIJA ZA MREŽNE DJELATNOSTI</w:t>
    </w:r>
  </w:p>
  <w:p w14:paraId="0851DD73" w14:textId="77777777" w:rsidR="00AA61AC" w:rsidRPr="005B56E5" w:rsidRDefault="00AA61AC" w:rsidP="005B56E5">
    <w:pPr>
      <w:pStyle w:val="Footer"/>
      <w:tabs>
        <w:tab w:val="clear" w:pos="4320"/>
        <w:tab w:val="clear" w:pos="8640"/>
      </w:tabs>
      <w:ind w:left="-142" w:right="-143"/>
      <w:rPr>
        <w:rFonts w:ascii="Corbel" w:hAnsi="Corbel"/>
        <w:sz w:val="15"/>
        <w:szCs w:val="15"/>
      </w:rPr>
    </w:pPr>
    <w:r w:rsidRPr="00605B1D">
      <w:rPr>
        <w:rFonts w:ascii="Corbel" w:hAnsi="Corbel"/>
        <w:sz w:val="15"/>
        <w:szCs w:val="15"/>
      </w:rPr>
      <w:t>Roberta Frangeša Mihanovi</w:t>
    </w:r>
    <w:r w:rsidRPr="00605B1D">
      <w:rPr>
        <w:rFonts w:ascii="Corbel" w:hAnsi="Corbel" w:cs="Cambria"/>
        <w:sz w:val="15"/>
        <w:szCs w:val="15"/>
      </w:rPr>
      <w:t>ć</w:t>
    </w:r>
    <w:r w:rsidRPr="00605B1D">
      <w:rPr>
        <w:rFonts w:ascii="Corbel" w:hAnsi="Corbel"/>
        <w:sz w:val="15"/>
        <w:szCs w:val="15"/>
      </w:rPr>
      <w:t>a 9, 10110 Zagreb / OIB: 87950783661 / Tel: (01) 7007 007, Faks: (01) 7007 070 / www.hakom.hr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0D028F" w14:textId="77777777" w:rsidR="001B637A" w:rsidRDefault="001B637A">
      <w:r>
        <w:separator/>
      </w:r>
    </w:p>
  </w:footnote>
  <w:footnote w:type="continuationSeparator" w:id="0">
    <w:p w14:paraId="490F0C8A" w14:textId="77777777" w:rsidR="001B637A" w:rsidRDefault="001B637A">
      <w:r>
        <w:continuationSeparator/>
      </w:r>
    </w:p>
  </w:footnote>
  <w:footnote w:id="1">
    <w:p w14:paraId="07608B14" w14:textId="7E9C405D" w:rsidR="008E6665" w:rsidRDefault="008E666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8E6665">
        <w:t xml:space="preserve">Podaci o tužitelju su </w:t>
      </w:r>
      <w:proofErr w:type="spellStart"/>
      <w:r w:rsidRPr="008E6665">
        <w:t>anonimizirani</w:t>
      </w:r>
      <w:proofErr w:type="spellEnd"/>
      <w:r w:rsidRPr="008E6665">
        <w:t xml:space="preserve"> u svrhu zaštite osobnih podataka fizičkih osoba, sukladno propisima koji uređuju zaštitu osobnih podataka.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1DD6D" w14:textId="77777777" w:rsidR="00AA61AC" w:rsidRDefault="00AA61AC" w:rsidP="00731423">
    <w:pPr>
      <w:pStyle w:val="Header"/>
      <w:tabs>
        <w:tab w:val="clear" w:pos="4536"/>
        <w:tab w:val="clear" w:pos="9072"/>
      </w:tabs>
      <w:ind w:left="-360" w:right="-442"/>
      <w:jc w:val="center"/>
    </w:pPr>
  </w:p>
  <w:p w14:paraId="6C6E8E30" w14:textId="77777777" w:rsidR="00AA61AC" w:rsidRDefault="00AA61AC"/>
  <w:p w14:paraId="0D3823FC" w14:textId="77777777" w:rsidR="00AA61AC" w:rsidRDefault="00AA61AC"/>
  <w:p w14:paraId="7701011C" w14:textId="77777777" w:rsidR="00AA61AC" w:rsidRDefault="00AA61AC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51DD6E" w14:textId="77777777" w:rsidR="00AA61AC" w:rsidRDefault="00AA61AC" w:rsidP="00192D15">
    <w:pPr>
      <w:pStyle w:val="Header"/>
      <w:tabs>
        <w:tab w:val="clear" w:pos="4536"/>
        <w:tab w:val="clear" w:pos="9072"/>
      </w:tabs>
      <w:ind w:left="-357" w:right="-357"/>
      <w:jc w:val="center"/>
    </w:pPr>
    <w:r w:rsidRPr="009F6CDB">
      <w:rPr>
        <w:noProof/>
      </w:rPr>
      <w:drawing>
        <wp:inline distT="0" distB="0" distL="0" distR="0" wp14:anchorId="0851DD74" wp14:editId="0851DD75">
          <wp:extent cx="1057523" cy="1025220"/>
          <wp:effectExtent l="0" t="0" r="0" b="3810"/>
          <wp:docPr id="23" name="Picture 23" descr="\\hzt.local\hakom\Mape_Odjela\KIS\Vizualni identitet HAKOM - javno\HAKOM color logotip 1 mal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\\hzt.local\hakom\Mape_Odjela\KIS\Vizualni identitet HAKOM - javno\HAKOM color logotip 1 mal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152" cy="10306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51DD6F" w14:textId="77777777" w:rsidR="00AA61AC" w:rsidRDefault="00AA61AC" w:rsidP="00192D15">
    <w:pPr>
      <w:pStyle w:val="Header"/>
      <w:tabs>
        <w:tab w:val="clear" w:pos="4536"/>
        <w:tab w:val="clear" w:pos="9072"/>
      </w:tabs>
      <w:ind w:left="-357" w:right="-357"/>
      <w:jc w:val="center"/>
    </w:pPr>
  </w:p>
  <w:p w14:paraId="0851DD70" w14:textId="77777777" w:rsidR="00AA61AC" w:rsidRDefault="00AA61AC" w:rsidP="00192D15">
    <w:pPr>
      <w:pStyle w:val="Header"/>
      <w:tabs>
        <w:tab w:val="clear" w:pos="4536"/>
        <w:tab w:val="clear" w:pos="9072"/>
      </w:tabs>
      <w:spacing w:after="60"/>
      <w:ind w:right="9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83475"/>
    <w:multiLevelType w:val="hybridMultilevel"/>
    <w:tmpl w:val="62F00CF2"/>
    <w:lvl w:ilvl="0" w:tplc="041A000F">
      <w:start w:val="1"/>
      <w:numFmt w:val="decimal"/>
      <w:lvlText w:val="%1."/>
      <w:lvlJc w:val="left"/>
      <w:pPr>
        <w:ind w:left="77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4EB64C6"/>
    <w:multiLevelType w:val="hybridMultilevel"/>
    <w:tmpl w:val="075E248E"/>
    <w:lvl w:ilvl="0" w:tplc="C4BCFAD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2427A"/>
    <w:multiLevelType w:val="hybridMultilevel"/>
    <w:tmpl w:val="A91AF922"/>
    <w:lvl w:ilvl="0" w:tplc="709A519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973DE"/>
    <w:multiLevelType w:val="hybridMultilevel"/>
    <w:tmpl w:val="4710BE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0F453D"/>
    <w:multiLevelType w:val="hybridMultilevel"/>
    <w:tmpl w:val="8A6238B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2F41434"/>
    <w:multiLevelType w:val="hybridMultilevel"/>
    <w:tmpl w:val="5F640F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71CDE"/>
    <w:multiLevelType w:val="hybridMultilevel"/>
    <w:tmpl w:val="60480DE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D71DC"/>
    <w:multiLevelType w:val="hybridMultilevel"/>
    <w:tmpl w:val="BD4A71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827334"/>
    <w:multiLevelType w:val="hybridMultilevel"/>
    <w:tmpl w:val="34C4AAB6"/>
    <w:lvl w:ilvl="0" w:tplc="94AC14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9A6C40"/>
    <w:multiLevelType w:val="hybridMultilevel"/>
    <w:tmpl w:val="3E444194"/>
    <w:lvl w:ilvl="0" w:tplc="9D0A0A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FB20BF"/>
    <w:multiLevelType w:val="hybridMultilevel"/>
    <w:tmpl w:val="11C2B4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5E0300"/>
    <w:multiLevelType w:val="hybridMultilevel"/>
    <w:tmpl w:val="8AD2445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EC2A97"/>
    <w:multiLevelType w:val="hybridMultilevel"/>
    <w:tmpl w:val="B51C9788"/>
    <w:lvl w:ilvl="0" w:tplc="2248A7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D75E8E"/>
    <w:multiLevelType w:val="hybridMultilevel"/>
    <w:tmpl w:val="645CB5F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03754"/>
    <w:multiLevelType w:val="hybridMultilevel"/>
    <w:tmpl w:val="02ACDAD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8D1F3D"/>
    <w:multiLevelType w:val="hybridMultilevel"/>
    <w:tmpl w:val="4710BE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3"/>
  </w:num>
  <w:num w:numId="4">
    <w:abstractNumId w:val="14"/>
  </w:num>
  <w:num w:numId="5">
    <w:abstractNumId w:val="6"/>
  </w:num>
  <w:num w:numId="6">
    <w:abstractNumId w:val="9"/>
  </w:num>
  <w:num w:numId="7">
    <w:abstractNumId w:val="4"/>
  </w:num>
  <w:num w:numId="8">
    <w:abstractNumId w:val="11"/>
  </w:num>
  <w:num w:numId="9">
    <w:abstractNumId w:val="7"/>
  </w:num>
  <w:num w:numId="10">
    <w:abstractNumId w:val="5"/>
  </w:num>
  <w:num w:numId="11">
    <w:abstractNumId w:val="12"/>
  </w:num>
  <w:num w:numId="12">
    <w:abstractNumId w:val="10"/>
  </w:num>
  <w:num w:numId="13">
    <w:abstractNumId w:val="13"/>
  </w:num>
  <w:num w:numId="14">
    <w:abstractNumId w:val="1"/>
  </w:num>
  <w:num w:numId="15">
    <w:abstractNumId w:val="2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>
      <o:colormru v:ext="edit" colors="#02418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0C7"/>
    <w:rsid w:val="00000CB3"/>
    <w:rsid w:val="000057FD"/>
    <w:rsid w:val="00006B58"/>
    <w:rsid w:val="00015CBF"/>
    <w:rsid w:val="00017189"/>
    <w:rsid w:val="0003136C"/>
    <w:rsid w:val="0003145F"/>
    <w:rsid w:val="00032D50"/>
    <w:rsid w:val="0004545D"/>
    <w:rsid w:val="00051EA5"/>
    <w:rsid w:val="00054A60"/>
    <w:rsid w:val="00055961"/>
    <w:rsid w:val="0006000E"/>
    <w:rsid w:val="00064A4F"/>
    <w:rsid w:val="0007000C"/>
    <w:rsid w:val="000714E2"/>
    <w:rsid w:val="0007763F"/>
    <w:rsid w:val="00080E87"/>
    <w:rsid w:val="00085297"/>
    <w:rsid w:val="00086CE7"/>
    <w:rsid w:val="000932FA"/>
    <w:rsid w:val="00093F01"/>
    <w:rsid w:val="00094435"/>
    <w:rsid w:val="000A12B5"/>
    <w:rsid w:val="000A758B"/>
    <w:rsid w:val="000B2F35"/>
    <w:rsid w:val="000B7D89"/>
    <w:rsid w:val="000C0876"/>
    <w:rsid w:val="000C0A11"/>
    <w:rsid w:val="000C295E"/>
    <w:rsid w:val="000C4706"/>
    <w:rsid w:val="000D1064"/>
    <w:rsid w:val="000D301C"/>
    <w:rsid w:val="000E3C2F"/>
    <w:rsid w:val="000F1654"/>
    <w:rsid w:val="000F2999"/>
    <w:rsid w:val="000F29CA"/>
    <w:rsid w:val="001013CC"/>
    <w:rsid w:val="0010294B"/>
    <w:rsid w:val="00102D87"/>
    <w:rsid w:val="00103FB9"/>
    <w:rsid w:val="001049AA"/>
    <w:rsid w:val="001065A9"/>
    <w:rsid w:val="00115A2F"/>
    <w:rsid w:val="00117537"/>
    <w:rsid w:val="00120AA8"/>
    <w:rsid w:val="00121580"/>
    <w:rsid w:val="001220A2"/>
    <w:rsid w:val="00124418"/>
    <w:rsid w:val="0013500D"/>
    <w:rsid w:val="00135061"/>
    <w:rsid w:val="00136D40"/>
    <w:rsid w:val="00140EB5"/>
    <w:rsid w:val="001410D6"/>
    <w:rsid w:val="001418EC"/>
    <w:rsid w:val="0014467F"/>
    <w:rsid w:val="00145C97"/>
    <w:rsid w:val="001468AC"/>
    <w:rsid w:val="001550EC"/>
    <w:rsid w:val="00155184"/>
    <w:rsid w:val="0015718F"/>
    <w:rsid w:val="001608B7"/>
    <w:rsid w:val="0016573D"/>
    <w:rsid w:val="00165B16"/>
    <w:rsid w:val="00171FAE"/>
    <w:rsid w:val="00184F36"/>
    <w:rsid w:val="00186556"/>
    <w:rsid w:val="00192D15"/>
    <w:rsid w:val="00192D64"/>
    <w:rsid w:val="001933DB"/>
    <w:rsid w:val="001954C9"/>
    <w:rsid w:val="00195F79"/>
    <w:rsid w:val="001963A7"/>
    <w:rsid w:val="00196D72"/>
    <w:rsid w:val="00197E20"/>
    <w:rsid w:val="001A08BF"/>
    <w:rsid w:val="001A592A"/>
    <w:rsid w:val="001B6130"/>
    <w:rsid w:val="001B637A"/>
    <w:rsid w:val="001B704E"/>
    <w:rsid w:val="001B7BC1"/>
    <w:rsid w:val="001B7F9B"/>
    <w:rsid w:val="001C1B61"/>
    <w:rsid w:val="001C2285"/>
    <w:rsid w:val="001C343B"/>
    <w:rsid w:val="001C3FC1"/>
    <w:rsid w:val="001C46F0"/>
    <w:rsid w:val="001E44E7"/>
    <w:rsid w:val="001E44EE"/>
    <w:rsid w:val="001E470D"/>
    <w:rsid w:val="001E49BB"/>
    <w:rsid w:val="001E6505"/>
    <w:rsid w:val="001F167F"/>
    <w:rsid w:val="001F2467"/>
    <w:rsid w:val="001F58AF"/>
    <w:rsid w:val="001F5A39"/>
    <w:rsid w:val="00201929"/>
    <w:rsid w:val="00202D22"/>
    <w:rsid w:val="00204A77"/>
    <w:rsid w:val="00206F40"/>
    <w:rsid w:val="0021663B"/>
    <w:rsid w:val="0021683E"/>
    <w:rsid w:val="00223B87"/>
    <w:rsid w:val="00225DA2"/>
    <w:rsid w:val="00227EF4"/>
    <w:rsid w:val="002307B2"/>
    <w:rsid w:val="002312E5"/>
    <w:rsid w:val="00232E77"/>
    <w:rsid w:val="0023641D"/>
    <w:rsid w:val="00237396"/>
    <w:rsid w:val="00242D81"/>
    <w:rsid w:val="002438BF"/>
    <w:rsid w:val="00244A64"/>
    <w:rsid w:val="0024738E"/>
    <w:rsid w:val="002476CA"/>
    <w:rsid w:val="00250E16"/>
    <w:rsid w:val="00263E66"/>
    <w:rsid w:val="00267CF5"/>
    <w:rsid w:val="00271431"/>
    <w:rsid w:val="00275490"/>
    <w:rsid w:val="0028006C"/>
    <w:rsid w:val="0029432E"/>
    <w:rsid w:val="00295884"/>
    <w:rsid w:val="002A198F"/>
    <w:rsid w:val="002A317F"/>
    <w:rsid w:val="002A4244"/>
    <w:rsid w:val="002A7759"/>
    <w:rsid w:val="002A7849"/>
    <w:rsid w:val="002A7C26"/>
    <w:rsid w:val="002B0473"/>
    <w:rsid w:val="002B2F14"/>
    <w:rsid w:val="002B3EA8"/>
    <w:rsid w:val="002B6E48"/>
    <w:rsid w:val="002C11BC"/>
    <w:rsid w:val="002C2493"/>
    <w:rsid w:val="002C5F16"/>
    <w:rsid w:val="002C7575"/>
    <w:rsid w:val="002C7E41"/>
    <w:rsid w:val="002D2745"/>
    <w:rsid w:val="002D754C"/>
    <w:rsid w:val="002E5A2F"/>
    <w:rsid w:val="002E5C32"/>
    <w:rsid w:val="002F27B2"/>
    <w:rsid w:val="002F2831"/>
    <w:rsid w:val="002F2EC2"/>
    <w:rsid w:val="002F67D7"/>
    <w:rsid w:val="00303CA9"/>
    <w:rsid w:val="003043EE"/>
    <w:rsid w:val="00304BA2"/>
    <w:rsid w:val="003072CA"/>
    <w:rsid w:val="00307314"/>
    <w:rsid w:val="00307D4B"/>
    <w:rsid w:val="00310964"/>
    <w:rsid w:val="003124AE"/>
    <w:rsid w:val="00316257"/>
    <w:rsid w:val="0031736F"/>
    <w:rsid w:val="003211BA"/>
    <w:rsid w:val="0032262F"/>
    <w:rsid w:val="00323036"/>
    <w:rsid w:val="003250CA"/>
    <w:rsid w:val="00330E24"/>
    <w:rsid w:val="00335567"/>
    <w:rsid w:val="00340983"/>
    <w:rsid w:val="0034511A"/>
    <w:rsid w:val="003456BD"/>
    <w:rsid w:val="003462FD"/>
    <w:rsid w:val="00350E4E"/>
    <w:rsid w:val="00360E80"/>
    <w:rsid w:val="00361739"/>
    <w:rsid w:val="00370283"/>
    <w:rsid w:val="003755D4"/>
    <w:rsid w:val="003761C7"/>
    <w:rsid w:val="00376FDB"/>
    <w:rsid w:val="003818ED"/>
    <w:rsid w:val="003856F3"/>
    <w:rsid w:val="0039311C"/>
    <w:rsid w:val="003A45B0"/>
    <w:rsid w:val="003A6B22"/>
    <w:rsid w:val="003A75B4"/>
    <w:rsid w:val="003A7EC4"/>
    <w:rsid w:val="003B4120"/>
    <w:rsid w:val="003D051E"/>
    <w:rsid w:val="003D77EC"/>
    <w:rsid w:val="003D7AE9"/>
    <w:rsid w:val="003D7F2D"/>
    <w:rsid w:val="003E39D1"/>
    <w:rsid w:val="003E417D"/>
    <w:rsid w:val="003F0CD5"/>
    <w:rsid w:val="003F1F56"/>
    <w:rsid w:val="00407BB1"/>
    <w:rsid w:val="004138CF"/>
    <w:rsid w:val="004161EC"/>
    <w:rsid w:val="00417334"/>
    <w:rsid w:val="0041737F"/>
    <w:rsid w:val="00421418"/>
    <w:rsid w:val="00421585"/>
    <w:rsid w:val="0042243C"/>
    <w:rsid w:val="0043145F"/>
    <w:rsid w:val="00437521"/>
    <w:rsid w:val="00441FAE"/>
    <w:rsid w:val="0044375C"/>
    <w:rsid w:val="00467F65"/>
    <w:rsid w:val="00470BFE"/>
    <w:rsid w:val="00471CD1"/>
    <w:rsid w:val="00473B48"/>
    <w:rsid w:val="00480DF3"/>
    <w:rsid w:val="0048191C"/>
    <w:rsid w:val="0048294D"/>
    <w:rsid w:val="004842B7"/>
    <w:rsid w:val="004873AC"/>
    <w:rsid w:val="00492923"/>
    <w:rsid w:val="00496B60"/>
    <w:rsid w:val="004A09F0"/>
    <w:rsid w:val="004A6DDC"/>
    <w:rsid w:val="004B25A3"/>
    <w:rsid w:val="004C2332"/>
    <w:rsid w:val="004C4167"/>
    <w:rsid w:val="004C6004"/>
    <w:rsid w:val="004C6E85"/>
    <w:rsid w:val="004D2C48"/>
    <w:rsid w:val="004E413C"/>
    <w:rsid w:val="00502C63"/>
    <w:rsid w:val="00505C3F"/>
    <w:rsid w:val="00507DEB"/>
    <w:rsid w:val="00515169"/>
    <w:rsid w:val="00515478"/>
    <w:rsid w:val="00517DF5"/>
    <w:rsid w:val="00522B91"/>
    <w:rsid w:val="00526800"/>
    <w:rsid w:val="0053124D"/>
    <w:rsid w:val="0053284B"/>
    <w:rsid w:val="00532A3D"/>
    <w:rsid w:val="0053611C"/>
    <w:rsid w:val="0054094C"/>
    <w:rsid w:val="005451A9"/>
    <w:rsid w:val="005569C7"/>
    <w:rsid w:val="00561E27"/>
    <w:rsid w:val="005633E2"/>
    <w:rsid w:val="00565848"/>
    <w:rsid w:val="00572A77"/>
    <w:rsid w:val="00573850"/>
    <w:rsid w:val="005768FD"/>
    <w:rsid w:val="005973C7"/>
    <w:rsid w:val="005A2030"/>
    <w:rsid w:val="005A3F46"/>
    <w:rsid w:val="005A3FC7"/>
    <w:rsid w:val="005A6021"/>
    <w:rsid w:val="005B391E"/>
    <w:rsid w:val="005B56E5"/>
    <w:rsid w:val="005B7122"/>
    <w:rsid w:val="005D00F7"/>
    <w:rsid w:val="005D20A6"/>
    <w:rsid w:val="005D633C"/>
    <w:rsid w:val="005D654D"/>
    <w:rsid w:val="005E2C28"/>
    <w:rsid w:val="005E30C0"/>
    <w:rsid w:val="005E34F6"/>
    <w:rsid w:val="005E5F19"/>
    <w:rsid w:val="005E67B1"/>
    <w:rsid w:val="005F1887"/>
    <w:rsid w:val="005F357B"/>
    <w:rsid w:val="005F3BAF"/>
    <w:rsid w:val="006013FD"/>
    <w:rsid w:val="00602787"/>
    <w:rsid w:val="00606588"/>
    <w:rsid w:val="006079FC"/>
    <w:rsid w:val="00607E19"/>
    <w:rsid w:val="0061318D"/>
    <w:rsid w:val="00613579"/>
    <w:rsid w:val="00613A45"/>
    <w:rsid w:val="006140BB"/>
    <w:rsid w:val="00615A7F"/>
    <w:rsid w:val="0062475F"/>
    <w:rsid w:val="00624E31"/>
    <w:rsid w:val="006325C1"/>
    <w:rsid w:val="0063683E"/>
    <w:rsid w:val="006370B5"/>
    <w:rsid w:val="00637D7D"/>
    <w:rsid w:val="00642327"/>
    <w:rsid w:val="00642D56"/>
    <w:rsid w:val="0065292C"/>
    <w:rsid w:val="006614EA"/>
    <w:rsid w:val="00661B01"/>
    <w:rsid w:val="00661E77"/>
    <w:rsid w:val="0066434A"/>
    <w:rsid w:val="00667974"/>
    <w:rsid w:val="00671E81"/>
    <w:rsid w:val="006768EA"/>
    <w:rsid w:val="006804E8"/>
    <w:rsid w:val="0068193A"/>
    <w:rsid w:val="00693210"/>
    <w:rsid w:val="00693ADD"/>
    <w:rsid w:val="006A082D"/>
    <w:rsid w:val="006A116C"/>
    <w:rsid w:val="006B3CB2"/>
    <w:rsid w:val="006B78DA"/>
    <w:rsid w:val="006C3F0B"/>
    <w:rsid w:val="006C7F33"/>
    <w:rsid w:val="006D3B1D"/>
    <w:rsid w:val="006D461E"/>
    <w:rsid w:val="006D4A70"/>
    <w:rsid w:val="006D77A3"/>
    <w:rsid w:val="006E189A"/>
    <w:rsid w:val="006E7D10"/>
    <w:rsid w:val="006F1E88"/>
    <w:rsid w:val="006F32B7"/>
    <w:rsid w:val="00700230"/>
    <w:rsid w:val="00702429"/>
    <w:rsid w:val="007124D3"/>
    <w:rsid w:val="0072124E"/>
    <w:rsid w:val="00722A43"/>
    <w:rsid w:val="00726785"/>
    <w:rsid w:val="00731423"/>
    <w:rsid w:val="00732966"/>
    <w:rsid w:val="00742A15"/>
    <w:rsid w:val="007447D5"/>
    <w:rsid w:val="007448D5"/>
    <w:rsid w:val="0074681E"/>
    <w:rsid w:val="00746C31"/>
    <w:rsid w:val="0075388E"/>
    <w:rsid w:val="0075691E"/>
    <w:rsid w:val="0076137A"/>
    <w:rsid w:val="007616A7"/>
    <w:rsid w:val="007673DC"/>
    <w:rsid w:val="007733CD"/>
    <w:rsid w:val="007759F7"/>
    <w:rsid w:val="00785898"/>
    <w:rsid w:val="007867AD"/>
    <w:rsid w:val="00790B68"/>
    <w:rsid w:val="00792063"/>
    <w:rsid w:val="00792F11"/>
    <w:rsid w:val="00793180"/>
    <w:rsid w:val="007938FD"/>
    <w:rsid w:val="00794585"/>
    <w:rsid w:val="00794EF8"/>
    <w:rsid w:val="00797534"/>
    <w:rsid w:val="007A08B5"/>
    <w:rsid w:val="007A3C1F"/>
    <w:rsid w:val="007A7E39"/>
    <w:rsid w:val="007B24A0"/>
    <w:rsid w:val="007B39AF"/>
    <w:rsid w:val="007C504C"/>
    <w:rsid w:val="007D069D"/>
    <w:rsid w:val="007D0C2E"/>
    <w:rsid w:val="007D24E5"/>
    <w:rsid w:val="007D6C79"/>
    <w:rsid w:val="007D7B00"/>
    <w:rsid w:val="007E000F"/>
    <w:rsid w:val="007F4DA6"/>
    <w:rsid w:val="00805473"/>
    <w:rsid w:val="00807EFB"/>
    <w:rsid w:val="008106D0"/>
    <w:rsid w:val="00811D50"/>
    <w:rsid w:val="0081419C"/>
    <w:rsid w:val="00814853"/>
    <w:rsid w:val="00814EA6"/>
    <w:rsid w:val="00816926"/>
    <w:rsid w:val="00821131"/>
    <w:rsid w:val="00833082"/>
    <w:rsid w:val="00837C56"/>
    <w:rsid w:val="00845AD6"/>
    <w:rsid w:val="00853ED4"/>
    <w:rsid w:val="0086028F"/>
    <w:rsid w:val="008639AE"/>
    <w:rsid w:val="00871283"/>
    <w:rsid w:val="008762A4"/>
    <w:rsid w:val="0088657A"/>
    <w:rsid w:val="00891FF4"/>
    <w:rsid w:val="00893B85"/>
    <w:rsid w:val="0089452C"/>
    <w:rsid w:val="00894C21"/>
    <w:rsid w:val="00895989"/>
    <w:rsid w:val="008968BE"/>
    <w:rsid w:val="008A3869"/>
    <w:rsid w:val="008A49AC"/>
    <w:rsid w:val="008A6DD0"/>
    <w:rsid w:val="008B40DC"/>
    <w:rsid w:val="008B548A"/>
    <w:rsid w:val="008B62B9"/>
    <w:rsid w:val="008C159C"/>
    <w:rsid w:val="008C50C7"/>
    <w:rsid w:val="008D34AD"/>
    <w:rsid w:val="008E0AFB"/>
    <w:rsid w:val="008E3D49"/>
    <w:rsid w:val="008E4BBA"/>
    <w:rsid w:val="008E6665"/>
    <w:rsid w:val="008F1418"/>
    <w:rsid w:val="008F4642"/>
    <w:rsid w:val="00903614"/>
    <w:rsid w:val="009069C9"/>
    <w:rsid w:val="00907F50"/>
    <w:rsid w:val="0091001E"/>
    <w:rsid w:val="00910F41"/>
    <w:rsid w:val="0091327E"/>
    <w:rsid w:val="00914CC5"/>
    <w:rsid w:val="0092212F"/>
    <w:rsid w:val="009300B1"/>
    <w:rsid w:val="00931300"/>
    <w:rsid w:val="0093370B"/>
    <w:rsid w:val="00933F20"/>
    <w:rsid w:val="00935CFC"/>
    <w:rsid w:val="00940857"/>
    <w:rsid w:val="00941AF0"/>
    <w:rsid w:val="009448C6"/>
    <w:rsid w:val="0094510E"/>
    <w:rsid w:val="009568E1"/>
    <w:rsid w:val="00956C19"/>
    <w:rsid w:val="00961300"/>
    <w:rsid w:val="00961B70"/>
    <w:rsid w:val="009638CD"/>
    <w:rsid w:val="00964B0D"/>
    <w:rsid w:val="00965F6A"/>
    <w:rsid w:val="00972D68"/>
    <w:rsid w:val="009767D9"/>
    <w:rsid w:val="00982CDE"/>
    <w:rsid w:val="009852BB"/>
    <w:rsid w:val="00986F67"/>
    <w:rsid w:val="009917FA"/>
    <w:rsid w:val="00992652"/>
    <w:rsid w:val="00995A96"/>
    <w:rsid w:val="0099643B"/>
    <w:rsid w:val="009A57FC"/>
    <w:rsid w:val="009A7313"/>
    <w:rsid w:val="009B3BA6"/>
    <w:rsid w:val="009B433A"/>
    <w:rsid w:val="009D0ABC"/>
    <w:rsid w:val="009E658B"/>
    <w:rsid w:val="009E6D25"/>
    <w:rsid w:val="009F2E1F"/>
    <w:rsid w:val="009F3FBB"/>
    <w:rsid w:val="009F6C20"/>
    <w:rsid w:val="00A03CA8"/>
    <w:rsid w:val="00A04D4D"/>
    <w:rsid w:val="00A13AAF"/>
    <w:rsid w:val="00A13B22"/>
    <w:rsid w:val="00A23C42"/>
    <w:rsid w:val="00A24401"/>
    <w:rsid w:val="00A31AE4"/>
    <w:rsid w:val="00A41300"/>
    <w:rsid w:val="00A458D5"/>
    <w:rsid w:val="00A461D4"/>
    <w:rsid w:val="00A57D14"/>
    <w:rsid w:val="00A615C9"/>
    <w:rsid w:val="00A65998"/>
    <w:rsid w:val="00A716DD"/>
    <w:rsid w:val="00A72D21"/>
    <w:rsid w:val="00A73640"/>
    <w:rsid w:val="00A8424D"/>
    <w:rsid w:val="00A9181A"/>
    <w:rsid w:val="00A93CBD"/>
    <w:rsid w:val="00AA02BB"/>
    <w:rsid w:val="00AA61AC"/>
    <w:rsid w:val="00AB633E"/>
    <w:rsid w:val="00AB7279"/>
    <w:rsid w:val="00AC1055"/>
    <w:rsid w:val="00AC5AF2"/>
    <w:rsid w:val="00AC5FAF"/>
    <w:rsid w:val="00AC7740"/>
    <w:rsid w:val="00AD2C3F"/>
    <w:rsid w:val="00AD3E6A"/>
    <w:rsid w:val="00AD421E"/>
    <w:rsid w:val="00AE2703"/>
    <w:rsid w:val="00AE61BB"/>
    <w:rsid w:val="00AF02D7"/>
    <w:rsid w:val="00AF6C67"/>
    <w:rsid w:val="00B01212"/>
    <w:rsid w:val="00B02464"/>
    <w:rsid w:val="00B02605"/>
    <w:rsid w:val="00B0387C"/>
    <w:rsid w:val="00B14C1E"/>
    <w:rsid w:val="00B23348"/>
    <w:rsid w:val="00B279FE"/>
    <w:rsid w:val="00B31394"/>
    <w:rsid w:val="00B376A7"/>
    <w:rsid w:val="00B40B0F"/>
    <w:rsid w:val="00B41724"/>
    <w:rsid w:val="00B42A6A"/>
    <w:rsid w:val="00B527D1"/>
    <w:rsid w:val="00B5336D"/>
    <w:rsid w:val="00B56FFA"/>
    <w:rsid w:val="00B671D7"/>
    <w:rsid w:val="00B71759"/>
    <w:rsid w:val="00B72942"/>
    <w:rsid w:val="00B77742"/>
    <w:rsid w:val="00B862B2"/>
    <w:rsid w:val="00B86E52"/>
    <w:rsid w:val="00B95B47"/>
    <w:rsid w:val="00B972B7"/>
    <w:rsid w:val="00B97CFE"/>
    <w:rsid w:val="00BA32F3"/>
    <w:rsid w:val="00BC0AC9"/>
    <w:rsid w:val="00BC1C56"/>
    <w:rsid w:val="00BC3566"/>
    <w:rsid w:val="00BD0184"/>
    <w:rsid w:val="00BD2B5A"/>
    <w:rsid w:val="00BD3224"/>
    <w:rsid w:val="00BD7ED6"/>
    <w:rsid w:val="00BE10C2"/>
    <w:rsid w:val="00BE45EA"/>
    <w:rsid w:val="00BF31D9"/>
    <w:rsid w:val="00BF6F02"/>
    <w:rsid w:val="00C0572F"/>
    <w:rsid w:val="00C07D26"/>
    <w:rsid w:val="00C14A4E"/>
    <w:rsid w:val="00C14AD9"/>
    <w:rsid w:val="00C16B18"/>
    <w:rsid w:val="00C243E0"/>
    <w:rsid w:val="00C27C62"/>
    <w:rsid w:val="00C3040B"/>
    <w:rsid w:val="00C362BD"/>
    <w:rsid w:val="00C42025"/>
    <w:rsid w:val="00C42591"/>
    <w:rsid w:val="00C44442"/>
    <w:rsid w:val="00C511C1"/>
    <w:rsid w:val="00C52FE9"/>
    <w:rsid w:val="00C548F8"/>
    <w:rsid w:val="00C56F5F"/>
    <w:rsid w:val="00C6076F"/>
    <w:rsid w:val="00C659BE"/>
    <w:rsid w:val="00C71216"/>
    <w:rsid w:val="00C75A0F"/>
    <w:rsid w:val="00C75C45"/>
    <w:rsid w:val="00C80A5A"/>
    <w:rsid w:val="00C92247"/>
    <w:rsid w:val="00C92491"/>
    <w:rsid w:val="00CA47AB"/>
    <w:rsid w:val="00CA7187"/>
    <w:rsid w:val="00CB1C16"/>
    <w:rsid w:val="00CB323B"/>
    <w:rsid w:val="00CB4BB1"/>
    <w:rsid w:val="00CB65AD"/>
    <w:rsid w:val="00CC2923"/>
    <w:rsid w:val="00CC53DD"/>
    <w:rsid w:val="00CC5C89"/>
    <w:rsid w:val="00CD27AC"/>
    <w:rsid w:val="00CD3E4A"/>
    <w:rsid w:val="00CE0DF7"/>
    <w:rsid w:val="00CE11FF"/>
    <w:rsid w:val="00CE1826"/>
    <w:rsid w:val="00CE620B"/>
    <w:rsid w:val="00CF57A4"/>
    <w:rsid w:val="00D11282"/>
    <w:rsid w:val="00D12759"/>
    <w:rsid w:val="00D16619"/>
    <w:rsid w:val="00D30F6E"/>
    <w:rsid w:val="00D36EDA"/>
    <w:rsid w:val="00D4762E"/>
    <w:rsid w:val="00D47F74"/>
    <w:rsid w:val="00D703E2"/>
    <w:rsid w:val="00D83F0A"/>
    <w:rsid w:val="00D872F8"/>
    <w:rsid w:val="00D91324"/>
    <w:rsid w:val="00D91816"/>
    <w:rsid w:val="00D925CA"/>
    <w:rsid w:val="00D95CB0"/>
    <w:rsid w:val="00D97A5C"/>
    <w:rsid w:val="00DA4028"/>
    <w:rsid w:val="00DA5604"/>
    <w:rsid w:val="00DB5CBF"/>
    <w:rsid w:val="00DC2C85"/>
    <w:rsid w:val="00DC4BA7"/>
    <w:rsid w:val="00DC50E5"/>
    <w:rsid w:val="00DD0EB5"/>
    <w:rsid w:val="00DD0F42"/>
    <w:rsid w:val="00DD243E"/>
    <w:rsid w:val="00DE4EEB"/>
    <w:rsid w:val="00DE6EA9"/>
    <w:rsid w:val="00DF1FDA"/>
    <w:rsid w:val="00DF565B"/>
    <w:rsid w:val="00E05E39"/>
    <w:rsid w:val="00E071AA"/>
    <w:rsid w:val="00E076BF"/>
    <w:rsid w:val="00E10275"/>
    <w:rsid w:val="00E12428"/>
    <w:rsid w:val="00E131D8"/>
    <w:rsid w:val="00E20330"/>
    <w:rsid w:val="00E24CF0"/>
    <w:rsid w:val="00E25FCB"/>
    <w:rsid w:val="00E2664D"/>
    <w:rsid w:val="00E278F9"/>
    <w:rsid w:val="00E35E24"/>
    <w:rsid w:val="00E43611"/>
    <w:rsid w:val="00E51307"/>
    <w:rsid w:val="00E5191B"/>
    <w:rsid w:val="00E5234B"/>
    <w:rsid w:val="00E524F8"/>
    <w:rsid w:val="00E53520"/>
    <w:rsid w:val="00E57DCB"/>
    <w:rsid w:val="00E66AFA"/>
    <w:rsid w:val="00E762E9"/>
    <w:rsid w:val="00E8066C"/>
    <w:rsid w:val="00E82006"/>
    <w:rsid w:val="00E858A7"/>
    <w:rsid w:val="00E919CB"/>
    <w:rsid w:val="00E93D92"/>
    <w:rsid w:val="00E9407B"/>
    <w:rsid w:val="00E965C0"/>
    <w:rsid w:val="00E96CA3"/>
    <w:rsid w:val="00E97FD9"/>
    <w:rsid w:val="00EA13F2"/>
    <w:rsid w:val="00EA458F"/>
    <w:rsid w:val="00EA647A"/>
    <w:rsid w:val="00EA6B87"/>
    <w:rsid w:val="00EA6DE2"/>
    <w:rsid w:val="00EB3236"/>
    <w:rsid w:val="00EB567B"/>
    <w:rsid w:val="00EB58EE"/>
    <w:rsid w:val="00EB7BD9"/>
    <w:rsid w:val="00EC227D"/>
    <w:rsid w:val="00EC5BA0"/>
    <w:rsid w:val="00EC76A2"/>
    <w:rsid w:val="00EC7B08"/>
    <w:rsid w:val="00ED08F7"/>
    <w:rsid w:val="00ED1BF8"/>
    <w:rsid w:val="00ED5791"/>
    <w:rsid w:val="00EE4975"/>
    <w:rsid w:val="00EE6009"/>
    <w:rsid w:val="00EF1596"/>
    <w:rsid w:val="00EF45B8"/>
    <w:rsid w:val="00EF4EF0"/>
    <w:rsid w:val="00EF6DBD"/>
    <w:rsid w:val="00F02790"/>
    <w:rsid w:val="00F02BC9"/>
    <w:rsid w:val="00F07B27"/>
    <w:rsid w:val="00F07E14"/>
    <w:rsid w:val="00F1462E"/>
    <w:rsid w:val="00F1525B"/>
    <w:rsid w:val="00F157A5"/>
    <w:rsid w:val="00F17ACC"/>
    <w:rsid w:val="00F22950"/>
    <w:rsid w:val="00F3054D"/>
    <w:rsid w:val="00F336CD"/>
    <w:rsid w:val="00F36C0C"/>
    <w:rsid w:val="00F424ED"/>
    <w:rsid w:val="00F53C9C"/>
    <w:rsid w:val="00F552B3"/>
    <w:rsid w:val="00F57AE3"/>
    <w:rsid w:val="00F7285C"/>
    <w:rsid w:val="00F73C9A"/>
    <w:rsid w:val="00F75123"/>
    <w:rsid w:val="00F764B8"/>
    <w:rsid w:val="00F7683A"/>
    <w:rsid w:val="00F82F57"/>
    <w:rsid w:val="00F856EB"/>
    <w:rsid w:val="00F86C17"/>
    <w:rsid w:val="00F97B4E"/>
    <w:rsid w:val="00FA01B6"/>
    <w:rsid w:val="00FA2B42"/>
    <w:rsid w:val="00FA3130"/>
    <w:rsid w:val="00FA3260"/>
    <w:rsid w:val="00FA67E0"/>
    <w:rsid w:val="00FB12CA"/>
    <w:rsid w:val="00FB2863"/>
    <w:rsid w:val="00FB54D1"/>
    <w:rsid w:val="00FC0886"/>
    <w:rsid w:val="00FC1412"/>
    <w:rsid w:val="00FC6319"/>
    <w:rsid w:val="00FD1BD9"/>
    <w:rsid w:val="00FD5A2B"/>
    <w:rsid w:val="00FD7E3B"/>
    <w:rsid w:val="00FF01D4"/>
    <w:rsid w:val="00FF339A"/>
    <w:rsid w:val="00FF5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24182"/>
    </o:shapedefaults>
    <o:shapelayout v:ext="edit">
      <o:idmap v:ext="edit" data="1"/>
    </o:shapelayout>
  </w:shapeDefaults>
  <w:decimalSymbol w:val=","/>
  <w:listSeparator w:val=";"/>
  <w14:docId w14:val="0851DD54"/>
  <w15:docId w15:val="{DD07A0CE-AF41-471B-BECA-8FAF64FDB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A57FC"/>
    <w:pPr>
      <w:keepNext/>
      <w:spacing w:before="24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qFormat/>
    <w:rsid w:val="009A57FC"/>
    <w:pPr>
      <w:keepNext/>
      <w:spacing w:before="120" w:after="60"/>
      <w:outlineLvl w:val="1"/>
    </w:pPr>
    <w:rPr>
      <w:rFonts w:cs="Arial"/>
      <w:b/>
      <w:bCs/>
      <w:iCs/>
      <w:szCs w:val="28"/>
    </w:rPr>
  </w:style>
  <w:style w:type="paragraph" w:styleId="Heading3">
    <w:name w:val="heading 3"/>
    <w:basedOn w:val="Normal"/>
    <w:next w:val="Normal"/>
    <w:qFormat/>
    <w:rsid w:val="009A57FC"/>
    <w:pPr>
      <w:keepNext/>
      <w:spacing w:before="60" w:after="60"/>
      <w:outlineLvl w:val="2"/>
    </w:pPr>
    <w:rPr>
      <w:rFonts w:cs="Arial"/>
      <w:bCs/>
      <w:cap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">
    <w:name w:val="Tekst"/>
    <w:basedOn w:val="Normal"/>
    <w:rsid w:val="00064A4F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Cs w:val="20"/>
      <w:lang w:val="en-US"/>
    </w:rPr>
  </w:style>
  <w:style w:type="character" w:styleId="PageNumber">
    <w:name w:val="page number"/>
    <w:basedOn w:val="DefaultParagraphFont"/>
    <w:rsid w:val="00FD7E3B"/>
  </w:style>
  <w:style w:type="paragraph" w:styleId="Footer">
    <w:name w:val="footer"/>
    <w:basedOn w:val="Normal"/>
    <w:link w:val="FooterChar"/>
    <w:uiPriority w:val="99"/>
    <w:rsid w:val="009A57FC"/>
    <w:pPr>
      <w:tabs>
        <w:tab w:val="center" w:pos="4320"/>
        <w:tab w:val="right" w:pos="8640"/>
      </w:tabs>
      <w:spacing w:line="360" w:lineRule="auto"/>
      <w:jc w:val="center"/>
    </w:pPr>
    <w:rPr>
      <w:rFonts w:ascii="Calibri" w:hAnsi="Calibri"/>
      <w:color w:val="024182"/>
      <w:sz w:val="16"/>
      <w:szCs w:val="20"/>
    </w:rPr>
  </w:style>
  <w:style w:type="paragraph" w:customStyle="1" w:styleId="Uloga">
    <w:name w:val="Uloga"/>
    <w:basedOn w:val="Normal"/>
    <w:rsid w:val="00A615C9"/>
    <w:pPr>
      <w:tabs>
        <w:tab w:val="center" w:pos="7655"/>
      </w:tabs>
      <w:spacing w:before="240" w:after="600"/>
    </w:pPr>
    <w:rPr>
      <w:b/>
      <w:i/>
      <w:caps/>
      <w:sz w:val="20"/>
    </w:rPr>
  </w:style>
  <w:style w:type="table" w:styleId="TableGrid">
    <w:name w:val="Table Grid"/>
    <w:basedOn w:val="TableNormal"/>
    <w:uiPriority w:val="39"/>
    <w:rsid w:val="00FD7E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B01212"/>
    <w:pPr>
      <w:tabs>
        <w:tab w:val="center" w:pos="4536"/>
        <w:tab w:val="right" w:pos="9072"/>
      </w:tabs>
    </w:pPr>
    <w:rPr>
      <w:rFonts w:ascii="Calibri" w:hAnsi="Calibri"/>
      <w:color w:val="024182"/>
      <w:sz w:val="16"/>
    </w:rPr>
  </w:style>
  <w:style w:type="paragraph" w:customStyle="1" w:styleId="Uloga-ime">
    <w:name w:val="Uloga - ime"/>
    <w:basedOn w:val="Normal"/>
    <w:rsid w:val="00A615C9"/>
    <w:pPr>
      <w:tabs>
        <w:tab w:val="center" w:pos="7655"/>
      </w:tabs>
      <w:spacing w:after="600"/>
    </w:pPr>
    <w:rPr>
      <w:b/>
      <w:i/>
      <w:sz w:val="22"/>
    </w:rPr>
  </w:style>
  <w:style w:type="paragraph" w:styleId="BalloonText">
    <w:name w:val="Balloon Text"/>
    <w:basedOn w:val="Normal"/>
    <w:link w:val="BalloonTextChar"/>
    <w:rsid w:val="00AF02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02D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663B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6370B5"/>
    <w:rPr>
      <w:rFonts w:ascii="Calibri" w:hAnsi="Calibri"/>
      <w:color w:val="024182"/>
      <w:sz w:val="16"/>
    </w:rPr>
  </w:style>
  <w:style w:type="table" w:customStyle="1" w:styleId="TableGrid3">
    <w:name w:val="Table Grid3"/>
    <w:basedOn w:val="TableNormal"/>
    <w:next w:val="TableGrid"/>
    <w:uiPriority w:val="59"/>
    <w:rsid w:val="00E5352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E5352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AA61A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unhideWhenUsed/>
    <w:rsid w:val="008E666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8E6665"/>
  </w:style>
  <w:style w:type="character" w:styleId="FootnoteReference">
    <w:name w:val="footnote reference"/>
    <w:basedOn w:val="DefaultParagraphFont"/>
    <w:semiHidden/>
    <w:unhideWhenUsed/>
    <w:rsid w:val="008E66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934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F64D133891958459AE81003228E31AE" ma:contentTypeVersion="3" ma:contentTypeDescription="Stvaranje novog dokumenta." ma:contentTypeScope="" ma:versionID="ed2ea0fc914c9fe856b16804f9017ec3">
  <xsd:schema xmlns:xsd="http://www.w3.org/2001/XMLSchema" xmlns:xs="http://www.w3.org/2001/XMLSchema" xmlns:p="http://schemas.microsoft.com/office/2006/metadata/properties" xmlns:ns2="f45d8b5b-b624-41fb-afb8-da03212d0f19" targetNamespace="http://schemas.microsoft.com/office/2006/metadata/properties" ma:root="true" ma:fieldsID="252a417815a7f7c55b63c71a016e8da7" ns2:_="">
    <xsd:import namespace="f45d8b5b-b624-41fb-afb8-da03212d0f19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5d8b5b-b624-41fb-afb8-da03212d0f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B6945B-9DB6-418A-824E-F9B948076F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E21F885-87C8-419C-A7E2-6E6EF0AD4B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3F1B32-05A0-4A83-998A-EACFC2E2E7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5d8b5b-b624-41fb-afb8-da03212d0f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70FB0B4-F86F-4B23-B607-54922CB47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3671</Words>
  <Characters>20927</Characters>
  <Application>Microsoft Office Word</Application>
  <DocSecurity>0</DocSecurity>
  <Lines>174</Lines>
  <Paragraphs>49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Predsjednik</vt:lpstr>
      <vt:lpstr>Memorandum - Executive director</vt:lpstr>
    </vt:vector>
  </TitlesOfParts>
  <Manager>Mirjana Todorić</Manager>
  <Company>HAKOM</Company>
  <LinksUpToDate>false</LinksUpToDate>
  <CharactersWithSpaces>24549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Predsjednik</dc:title>
  <dc:subject>Memorandum</dc:subject>
  <dc:creator>Cornelia Krušlin</dc:creator>
  <cp:keywords>English version</cp:keywords>
  <cp:lastModifiedBy>Sanja Hrvoj</cp:lastModifiedBy>
  <cp:revision>4</cp:revision>
  <cp:lastPrinted>2009-11-10T13:16:00Z</cp:lastPrinted>
  <dcterms:created xsi:type="dcterms:W3CDTF">2022-01-27T19:49:00Z</dcterms:created>
  <dcterms:modified xsi:type="dcterms:W3CDTF">2022-01-27T19:53:00Z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zija">
    <vt:lpwstr>3</vt:lpwstr>
  </property>
  <property fmtid="{D5CDD505-2E9C-101B-9397-08002B2CF9AE}" pid="3" name="revizija">
    <vt:lpwstr>0</vt:lpwstr>
  </property>
  <property fmtid="{D5CDD505-2E9C-101B-9397-08002B2CF9AE}" pid="4" name="Datum dovršetka">
    <vt:filetime>2012-08-31T22:00:00Z</vt:filetime>
  </property>
  <property fmtid="{D5CDD505-2E9C-101B-9397-08002B2CF9AE}" pid="5" name="Odjel">
    <vt:lpwstr>Zajednički poslovi</vt:lpwstr>
  </property>
  <property fmtid="{D5CDD505-2E9C-101B-9397-08002B2CF9AE}" pid="6" name="Office">
    <vt:lpwstr>HAKOM</vt:lpwstr>
  </property>
  <property fmtid="{D5CDD505-2E9C-101B-9397-08002B2CF9AE}" pid="7" name="Provjerio">
    <vt:lpwstr>Mirjana Todorić</vt:lpwstr>
  </property>
  <property fmtid="{D5CDD505-2E9C-101B-9397-08002B2CF9AE}" pid="8" name="Uređivač">
    <vt:lpwstr>Cornelia Krušlin</vt:lpwstr>
  </property>
  <property fmtid="{D5CDD505-2E9C-101B-9397-08002B2CF9AE}" pid="9" name="Vlasnik">
    <vt:lpwstr>HAKOM</vt:lpwstr>
  </property>
  <property fmtid="{D5CDD505-2E9C-101B-9397-08002B2CF9AE}" pid="10" name="Jezik">
    <vt:lpwstr>engleski</vt:lpwstr>
  </property>
  <property fmtid="{D5CDD505-2E9C-101B-9397-08002B2CF9AE}" pid="11" name="ContentTypeId">
    <vt:lpwstr>0x0101005F64D133891958459AE81003228E31AE</vt:lpwstr>
  </property>
  <property fmtid="{D5CDD505-2E9C-101B-9397-08002B2CF9AE}" pid="12" name="Order">
    <vt:r8>249100</vt:r8>
  </property>
  <property fmtid="{D5CDD505-2E9C-101B-9397-08002B2CF9AE}" pid="13" name="TemplateUrl">
    <vt:lpwstr/>
  </property>
  <property fmtid="{D5CDD505-2E9C-101B-9397-08002B2CF9AE}" pid="14" name="xd_Signature">
    <vt:bool>false</vt:bool>
  </property>
  <property fmtid="{D5CDD505-2E9C-101B-9397-08002B2CF9AE}" pid="15" name="xd_ProgID">
    <vt:lpwstr/>
  </property>
</Properties>
</file>