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05498" w14:textId="77777777" w:rsidR="00A65998" w:rsidRPr="006419B6" w:rsidRDefault="00A65998" w:rsidP="00A65998">
      <w:pPr>
        <w:suppressAutoHyphens/>
        <w:spacing w:after="160" w:line="259" w:lineRule="auto"/>
        <w:rPr>
          <w:rFonts w:eastAsia="Calibri"/>
          <w:lang w:eastAsia="en-US"/>
        </w:rPr>
      </w:pPr>
      <w:r w:rsidRPr="006419B6">
        <w:rPr>
          <w:rFonts w:eastAsia="Calibri"/>
          <w:noProof/>
        </w:rPr>
        <w:t>HRVATSKA REGULATORNA AGENCIJA ZA MREŽNE DJELATNOSTI - HAKOM</w:t>
      </w:r>
    </w:p>
    <w:p w14:paraId="32304C19" w14:textId="7FC847BE" w:rsidR="00A65998" w:rsidRDefault="00A65998" w:rsidP="00A65998">
      <w:pPr>
        <w:suppressAutoHyphens/>
        <w:spacing w:after="160" w:line="259" w:lineRule="auto"/>
        <w:rPr>
          <w:rFonts w:eastAsia="Calibri"/>
          <w:lang w:eastAsia="en-US"/>
        </w:rPr>
      </w:pPr>
      <w:r w:rsidRPr="006419B6">
        <w:rPr>
          <w:rFonts w:eastAsia="Calibri"/>
          <w:lang w:eastAsia="en-US"/>
        </w:rPr>
        <w:t>RKP: 45902</w:t>
      </w:r>
      <w:r>
        <w:rPr>
          <w:rFonts w:eastAsia="Calibri"/>
          <w:lang w:eastAsia="en-US"/>
        </w:rPr>
        <w:t xml:space="preserve">, </w:t>
      </w:r>
      <w:r w:rsidRPr="006419B6">
        <w:rPr>
          <w:rFonts w:eastAsia="Calibri"/>
          <w:lang w:eastAsia="en-US"/>
        </w:rPr>
        <w:t>OIB: 87950783661</w:t>
      </w:r>
    </w:p>
    <w:p w14:paraId="3C1EDDC1" w14:textId="77777777" w:rsidR="00267CF5" w:rsidRPr="006419B6" w:rsidRDefault="00267CF5" w:rsidP="00A65998">
      <w:pPr>
        <w:suppressAutoHyphens/>
        <w:spacing w:after="160" w:line="259" w:lineRule="auto"/>
        <w:rPr>
          <w:rFonts w:eastAsia="Calibri"/>
          <w:lang w:eastAsia="en-US"/>
        </w:rPr>
      </w:pPr>
    </w:p>
    <w:p w14:paraId="01E41F32" w14:textId="77777777" w:rsidR="00A65998" w:rsidRPr="006419B6" w:rsidRDefault="00A65998" w:rsidP="00A65998">
      <w:pPr>
        <w:suppressAutoHyphens/>
        <w:spacing w:after="160" w:line="259" w:lineRule="auto"/>
        <w:jc w:val="center"/>
        <w:rPr>
          <w:rFonts w:eastAsia="Calibri"/>
          <w:b/>
          <w:lang w:eastAsia="en-US"/>
        </w:rPr>
      </w:pPr>
      <w:r w:rsidRPr="006419B6">
        <w:rPr>
          <w:rFonts w:eastAsia="Calibri"/>
          <w:b/>
          <w:lang w:eastAsia="en-US"/>
        </w:rPr>
        <w:t xml:space="preserve">BILJEŠKE UZ FINANCIJSKE IZVJEŠTAJE </w:t>
      </w:r>
    </w:p>
    <w:p w14:paraId="278D78EA" w14:textId="77777777" w:rsidR="00A65998" w:rsidRPr="006419B6" w:rsidRDefault="00A65998" w:rsidP="00A65998">
      <w:pPr>
        <w:suppressAutoHyphens/>
        <w:spacing w:after="160" w:line="259" w:lineRule="auto"/>
        <w:jc w:val="center"/>
        <w:rPr>
          <w:rFonts w:eastAsia="Calibri"/>
          <w:b/>
          <w:lang w:eastAsia="en-US"/>
        </w:rPr>
      </w:pPr>
      <w:r w:rsidRPr="006419B6">
        <w:rPr>
          <w:rFonts w:eastAsia="Calibri"/>
          <w:b/>
          <w:lang w:eastAsia="en-US"/>
        </w:rPr>
        <w:t xml:space="preserve">HRVATSKE REGULATORNE AGENCIJE ZA MREŽNE DJELATNOSTI </w:t>
      </w:r>
    </w:p>
    <w:p w14:paraId="1B0BE06A" w14:textId="2DC29E12" w:rsidR="00A65998" w:rsidRPr="006419B6" w:rsidRDefault="00A65998" w:rsidP="00267CF5">
      <w:pPr>
        <w:suppressAutoHyphens/>
        <w:spacing w:after="160" w:line="259" w:lineRule="auto"/>
        <w:jc w:val="center"/>
        <w:rPr>
          <w:rFonts w:eastAsia="Calibri"/>
          <w:b/>
          <w:lang w:eastAsia="en-US"/>
        </w:rPr>
      </w:pPr>
      <w:r w:rsidRPr="006419B6">
        <w:rPr>
          <w:rFonts w:eastAsia="Calibri"/>
          <w:b/>
          <w:lang w:eastAsia="en-US"/>
        </w:rPr>
        <w:t>ZA RAZDOBLJE OD 1. SIJEČNJA DO 3</w:t>
      </w:r>
      <w:r w:rsidR="0081419C">
        <w:rPr>
          <w:rFonts w:eastAsia="Calibri"/>
          <w:b/>
          <w:lang w:eastAsia="en-US"/>
        </w:rPr>
        <w:t>1. PROSINCA</w:t>
      </w:r>
      <w:r w:rsidRPr="006419B6">
        <w:rPr>
          <w:rFonts w:eastAsia="Calibri"/>
          <w:b/>
          <w:lang w:eastAsia="en-US"/>
        </w:rPr>
        <w:t xml:space="preserve"> 202</w:t>
      </w:r>
      <w:r w:rsidR="001C144A">
        <w:rPr>
          <w:rFonts w:eastAsia="Calibri"/>
          <w:b/>
          <w:lang w:eastAsia="en-US"/>
        </w:rPr>
        <w:t>2</w:t>
      </w:r>
      <w:r w:rsidRPr="006419B6">
        <w:rPr>
          <w:rFonts w:eastAsia="Calibri"/>
          <w:b/>
          <w:lang w:eastAsia="en-US"/>
        </w:rPr>
        <w:t>.</w:t>
      </w:r>
    </w:p>
    <w:p w14:paraId="31ACF6BC" w14:textId="699D2979" w:rsidR="00A65998" w:rsidRDefault="00A65998" w:rsidP="00A65998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 w:rsidRPr="006419B6">
        <w:rPr>
          <w:rFonts w:eastAsia="Calibri"/>
          <w:lang w:eastAsia="en-US"/>
        </w:rPr>
        <w:t>Financijski izvještaji Hrvatske regulatorne agencije za mrežne djelatnosti (dalje: HAKOM) za razdoblje od 1. siječnja do 3</w:t>
      </w:r>
      <w:r w:rsidR="0081419C">
        <w:rPr>
          <w:rFonts w:eastAsia="Calibri"/>
          <w:lang w:eastAsia="en-US"/>
        </w:rPr>
        <w:t>1</w:t>
      </w:r>
      <w:r w:rsidRPr="006419B6">
        <w:rPr>
          <w:rFonts w:eastAsia="Calibri"/>
          <w:lang w:eastAsia="en-US"/>
        </w:rPr>
        <w:t xml:space="preserve">. </w:t>
      </w:r>
      <w:r w:rsidR="0081419C">
        <w:rPr>
          <w:rFonts w:eastAsia="Calibri"/>
          <w:lang w:eastAsia="en-US"/>
        </w:rPr>
        <w:t>prosinca</w:t>
      </w:r>
      <w:r w:rsidRPr="006419B6">
        <w:rPr>
          <w:rFonts w:eastAsia="Calibri"/>
          <w:lang w:eastAsia="en-US"/>
        </w:rPr>
        <w:t xml:space="preserve"> 202</w:t>
      </w:r>
      <w:r w:rsidR="001C144A">
        <w:rPr>
          <w:rFonts w:eastAsia="Calibri"/>
          <w:lang w:eastAsia="en-US"/>
        </w:rPr>
        <w:t>2</w:t>
      </w:r>
      <w:r w:rsidRPr="006419B6">
        <w:rPr>
          <w:rFonts w:eastAsia="Calibri"/>
          <w:lang w:eastAsia="en-US"/>
        </w:rPr>
        <w:t xml:space="preserve">. izrađeni su sukladno Zakonu o proračunu (NN br. </w:t>
      </w:r>
      <w:r w:rsidR="001C144A" w:rsidRPr="001C144A">
        <w:rPr>
          <w:rFonts w:eastAsia="Calibri"/>
          <w:lang w:eastAsia="en-US"/>
        </w:rPr>
        <w:t>144/21</w:t>
      </w:r>
      <w:r w:rsidRPr="006419B6">
        <w:rPr>
          <w:rFonts w:eastAsia="Calibri"/>
          <w:lang w:eastAsia="en-US"/>
        </w:rPr>
        <w:t xml:space="preserve">), Pravilniku o proračunskom računovodstvu i </w:t>
      </w:r>
      <w:r w:rsidR="00F07E14">
        <w:rPr>
          <w:rFonts w:eastAsia="Calibri"/>
          <w:lang w:eastAsia="en-US"/>
        </w:rPr>
        <w:t>R</w:t>
      </w:r>
      <w:r w:rsidRPr="006419B6">
        <w:rPr>
          <w:rFonts w:eastAsia="Calibri"/>
          <w:lang w:eastAsia="en-US"/>
        </w:rPr>
        <w:t>ačunskom planu (NN br</w:t>
      </w:r>
      <w:r w:rsidR="002A198F">
        <w:rPr>
          <w:rFonts w:eastAsia="Calibri"/>
          <w:lang w:eastAsia="en-US"/>
        </w:rPr>
        <w:t xml:space="preserve">. 124/14, 115/15, 87/16, 3/18, </w:t>
      </w:r>
      <w:r w:rsidRPr="006419B6">
        <w:rPr>
          <w:rFonts w:eastAsia="Calibri"/>
          <w:lang w:eastAsia="en-US"/>
        </w:rPr>
        <w:t>126/19</w:t>
      </w:r>
      <w:r w:rsidR="002A198F">
        <w:rPr>
          <w:rFonts w:eastAsia="Calibri"/>
          <w:lang w:eastAsia="en-US"/>
        </w:rPr>
        <w:t xml:space="preserve"> i 108/20</w:t>
      </w:r>
      <w:r w:rsidRPr="006419B6">
        <w:rPr>
          <w:rFonts w:eastAsia="Calibri"/>
          <w:lang w:eastAsia="en-US"/>
        </w:rPr>
        <w:t xml:space="preserve">), Pravilniku o financijskom izvještavanju u proračunskom računovodstvu (NN br. </w:t>
      </w:r>
      <w:r w:rsidR="00D0222C">
        <w:rPr>
          <w:rFonts w:eastAsia="Calibri"/>
          <w:lang w:eastAsia="en-US"/>
        </w:rPr>
        <w:t>37/22</w:t>
      </w:r>
      <w:r>
        <w:rPr>
          <w:rFonts w:eastAsia="Calibri"/>
          <w:lang w:eastAsia="en-US"/>
        </w:rPr>
        <w:t>)</w:t>
      </w:r>
      <w:r w:rsidR="00AD421E">
        <w:rPr>
          <w:rFonts w:eastAsia="Calibri"/>
          <w:lang w:eastAsia="en-US"/>
        </w:rPr>
        <w:t xml:space="preserve"> i</w:t>
      </w:r>
      <w:r w:rsidRPr="006419B6">
        <w:rPr>
          <w:rFonts w:eastAsia="Calibri"/>
          <w:lang w:eastAsia="en-US"/>
        </w:rPr>
        <w:t xml:space="preserve"> Okružnici Ministarstva financija o sastavljanju</w:t>
      </w:r>
      <w:r w:rsidR="006325C1">
        <w:rPr>
          <w:rFonts w:eastAsia="Calibri"/>
          <w:lang w:eastAsia="en-US"/>
        </w:rPr>
        <w:t>, konsolidaciji</w:t>
      </w:r>
      <w:r w:rsidRPr="006419B6">
        <w:rPr>
          <w:rFonts w:eastAsia="Calibri"/>
          <w:lang w:eastAsia="en-US"/>
        </w:rPr>
        <w:t xml:space="preserve"> i predaji financijskih izvještaja proračuna, proračunskih i izvanproračunskih korisnika državnog proračuna te proračunskih i izvanproračunskih korisnika proračuna jedinica lokalne i područne (regionalne) samouprave za razdoblje od 1. siječnja do 3</w:t>
      </w:r>
      <w:r w:rsidR="006325C1">
        <w:rPr>
          <w:rFonts w:eastAsia="Calibri"/>
          <w:lang w:eastAsia="en-US"/>
        </w:rPr>
        <w:t>1</w:t>
      </w:r>
      <w:r w:rsidRPr="006419B6">
        <w:rPr>
          <w:rFonts w:eastAsia="Calibri"/>
          <w:lang w:eastAsia="en-US"/>
        </w:rPr>
        <w:t xml:space="preserve">. </w:t>
      </w:r>
      <w:r w:rsidR="006325C1">
        <w:rPr>
          <w:rFonts w:eastAsia="Calibri"/>
          <w:lang w:eastAsia="en-US"/>
        </w:rPr>
        <w:t>prosinca</w:t>
      </w:r>
      <w:r w:rsidRPr="006419B6">
        <w:rPr>
          <w:rFonts w:eastAsia="Calibri"/>
          <w:lang w:eastAsia="en-US"/>
        </w:rPr>
        <w:t xml:space="preserve"> 202</w:t>
      </w:r>
      <w:r w:rsidR="00C15BEF">
        <w:rPr>
          <w:rFonts w:eastAsia="Calibri"/>
          <w:lang w:eastAsia="en-US"/>
        </w:rPr>
        <w:t>2</w:t>
      </w:r>
      <w:r w:rsidRPr="006419B6">
        <w:rPr>
          <w:rFonts w:eastAsia="Calibri"/>
          <w:lang w:eastAsia="en-US"/>
        </w:rPr>
        <w:t>., KLASA: 400-02/</w:t>
      </w:r>
      <w:r w:rsidR="001E6505">
        <w:rPr>
          <w:rFonts w:eastAsia="Calibri"/>
          <w:lang w:eastAsia="en-US"/>
        </w:rPr>
        <w:t>2</w:t>
      </w:r>
      <w:r w:rsidR="00C15BEF">
        <w:rPr>
          <w:rFonts w:eastAsia="Calibri"/>
          <w:lang w:eastAsia="en-US"/>
        </w:rPr>
        <w:t>2</w:t>
      </w:r>
      <w:r w:rsidR="001E6505">
        <w:rPr>
          <w:rFonts w:eastAsia="Calibri"/>
          <w:lang w:eastAsia="en-US"/>
        </w:rPr>
        <w:t>-01/2</w:t>
      </w:r>
      <w:r w:rsidR="00C15BEF">
        <w:rPr>
          <w:rFonts w:eastAsia="Calibri"/>
          <w:lang w:eastAsia="en-US"/>
        </w:rPr>
        <w:t>6</w:t>
      </w:r>
      <w:r w:rsidR="001E6505">
        <w:rPr>
          <w:rFonts w:eastAsia="Calibri"/>
          <w:lang w:eastAsia="en-US"/>
        </w:rPr>
        <w:t>, URBROJ: 513-05-03-2</w:t>
      </w:r>
      <w:r w:rsidR="00C15BEF">
        <w:rPr>
          <w:rFonts w:eastAsia="Calibri"/>
          <w:lang w:eastAsia="en-US"/>
        </w:rPr>
        <w:t>3</w:t>
      </w:r>
      <w:r w:rsidR="001E6505">
        <w:rPr>
          <w:rFonts w:eastAsia="Calibri"/>
          <w:lang w:eastAsia="en-US"/>
        </w:rPr>
        <w:t>-</w:t>
      </w:r>
      <w:r w:rsidR="00C15BEF">
        <w:rPr>
          <w:rFonts w:eastAsia="Calibri"/>
          <w:lang w:eastAsia="en-US"/>
        </w:rPr>
        <w:t>6</w:t>
      </w:r>
      <w:r w:rsidRPr="006419B6">
        <w:rPr>
          <w:rFonts w:eastAsia="Calibri"/>
          <w:lang w:eastAsia="en-US"/>
        </w:rPr>
        <w:t xml:space="preserve"> od </w:t>
      </w:r>
      <w:r w:rsidR="00C15BEF">
        <w:rPr>
          <w:rFonts w:eastAsia="Calibri"/>
          <w:lang w:eastAsia="en-US"/>
        </w:rPr>
        <w:t>12</w:t>
      </w:r>
      <w:r w:rsidRPr="006419B6">
        <w:rPr>
          <w:rFonts w:eastAsia="Calibri"/>
          <w:lang w:eastAsia="en-US"/>
        </w:rPr>
        <w:t xml:space="preserve">. </w:t>
      </w:r>
      <w:r w:rsidR="00C15BEF">
        <w:rPr>
          <w:rFonts w:eastAsia="Calibri"/>
          <w:lang w:eastAsia="en-US"/>
        </w:rPr>
        <w:t>siječnja</w:t>
      </w:r>
      <w:r w:rsidRPr="006419B6">
        <w:rPr>
          <w:rFonts w:eastAsia="Calibri"/>
          <w:lang w:eastAsia="en-US"/>
        </w:rPr>
        <w:t xml:space="preserve"> 202</w:t>
      </w:r>
      <w:r w:rsidR="00C15BEF">
        <w:rPr>
          <w:rFonts w:eastAsia="Calibri"/>
          <w:lang w:eastAsia="en-US"/>
        </w:rPr>
        <w:t>3</w:t>
      </w:r>
      <w:r w:rsidRPr="006419B6">
        <w:rPr>
          <w:rFonts w:eastAsia="Calibri"/>
          <w:lang w:eastAsia="en-US"/>
        </w:rPr>
        <w:t>.</w:t>
      </w:r>
    </w:p>
    <w:p w14:paraId="538254ED" w14:textId="77777777" w:rsidR="00A65998" w:rsidRPr="006419B6" w:rsidRDefault="00A65998" w:rsidP="00A65998">
      <w:pPr>
        <w:suppressAutoHyphens/>
        <w:spacing w:after="160" w:line="259" w:lineRule="auto"/>
        <w:jc w:val="both"/>
        <w:rPr>
          <w:rFonts w:eastAsia="Calibri"/>
          <w:lang w:eastAsia="en-US"/>
        </w:rPr>
      </w:pPr>
    </w:p>
    <w:p w14:paraId="4A00DEA4" w14:textId="77777777" w:rsidR="00A65998" w:rsidRPr="006419B6" w:rsidRDefault="00A65998" w:rsidP="00A65998">
      <w:pPr>
        <w:numPr>
          <w:ilvl w:val="0"/>
          <w:numId w:val="11"/>
        </w:numPr>
        <w:suppressAutoHyphens/>
        <w:spacing w:after="160" w:line="259" w:lineRule="auto"/>
        <w:ind w:left="426" w:hanging="426"/>
        <w:contextualSpacing/>
        <w:rPr>
          <w:rFonts w:eastAsia="Calibri"/>
          <w:b/>
          <w:lang w:eastAsia="en-US"/>
        </w:rPr>
      </w:pPr>
      <w:r w:rsidRPr="006419B6">
        <w:rPr>
          <w:rFonts w:eastAsia="Calibri"/>
          <w:b/>
          <w:lang w:eastAsia="en-US"/>
        </w:rPr>
        <w:t xml:space="preserve">BILJEŠKE UZ IZVJEŠTAJ O PRIHODIMA I RASHODIMA, PRIMICIMA I </w:t>
      </w:r>
    </w:p>
    <w:p w14:paraId="6549EF1F" w14:textId="2803E762" w:rsidR="00A65998" w:rsidRPr="00CB1C16" w:rsidRDefault="00A65998" w:rsidP="00CB1C16">
      <w:pPr>
        <w:suppressAutoHyphens/>
        <w:spacing w:after="160" w:line="259" w:lineRule="auto"/>
        <w:ind w:left="426"/>
        <w:contextualSpacing/>
        <w:rPr>
          <w:rFonts w:eastAsia="Calibri"/>
          <w:lang w:eastAsia="en-US"/>
        </w:rPr>
      </w:pPr>
      <w:r w:rsidRPr="006419B6">
        <w:rPr>
          <w:rFonts w:eastAsia="Calibri"/>
          <w:b/>
          <w:lang w:eastAsia="en-US"/>
        </w:rPr>
        <w:t>IZDACIMA (OBRAZAC PR-RAS</w:t>
      </w:r>
      <w:r w:rsidRPr="006419B6">
        <w:rPr>
          <w:rFonts w:eastAsia="Calibri"/>
          <w:lang w:eastAsia="en-US"/>
        </w:rPr>
        <w:t>)</w:t>
      </w:r>
    </w:p>
    <w:p w14:paraId="60675C5D" w14:textId="77777777" w:rsidR="00A65998" w:rsidRPr="006419B6" w:rsidRDefault="00A65998" w:rsidP="00A65998">
      <w:pPr>
        <w:suppressAutoHyphens/>
        <w:spacing w:before="240" w:after="160" w:line="259" w:lineRule="auto"/>
        <w:contextualSpacing/>
        <w:jc w:val="center"/>
        <w:rPr>
          <w:rFonts w:eastAsia="Calibri"/>
          <w:lang w:eastAsia="en-US"/>
        </w:rPr>
      </w:pPr>
      <w:r w:rsidRPr="006419B6">
        <w:rPr>
          <w:rFonts w:eastAsia="Calibri"/>
          <w:lang w:eastAsia="en-US"/>
        </w:rPr>
        <w:t>Bilješka 1.</w:t>
      </w:r>
    </w:p>
    <w:p w14:paraId="784F4F65" w14:textId="0E40DF48" w:rsidR="00A65998" w:rsidRPr="006419B6" w:rsidRDefault="00A65998" w:rsidP="00A65998">
      <w:pPr>
        <w:suppressAutoHyphens/>
        <w:spacing w:before="240" w:after="160" w:line="259" w:lineRule="auto"/>
        <w:contextualSpacing/>
        <w:jc w:val="both"/>
        <w:rPr>
          <w:rFonts w:eastAsia="Calibri"/>
          <w:lang w:eastAsia="en-US"/>
        </w:rPr>
      </w:pPr>
      <w:r w:rsidRPr="006419B6">
        <w:rPr>
          <w:rFonts w:eastAsia="Calibri"/>
          <w:lang w:eastAsia="en-US"/>
        </w:rPr>
        <w:t>Izvještaj o prihodima i rashodima, primicima i izdacima sastavljen je za razdoblje od 1. siječnja do 3</w:t>
      </w:r>
      <w:r w:rsidR="007E000F">
        <w:rPr>
          <w:rFonts w:eastAsia="Calibri"/>
          <w:lang w:eastAsia="en-US"/>
        </w:rPr>
        <w:t>1</w:t>
      </w:r>
      <w:r w:rsidRPr="006419B6">
        <w:rPr>
          <w:rFonts w:eastAsia="Calibri"/>
          <w:lang w:eastAsia="en-US"/>
        </w:rPr>
        <w:t xml:space="preserve">. </w:t>
      </w:r>
      <w:r w:rsidR="007E000F">
        <w:rPr>
          <w:rFonts w:eastAsia="Calibri"/>
          <w:lang w:eastAsia="en-US"/>
        </w:rPr>
        <w:t>prosinca</w:t>
      </w:r>
      <w:r w:rsidRPr="006419B6">
        <w:rPr>
          <w:rFonts w:eastAsia="Calibri"/>
          <w:lang w:eastAsia="en-US"/>
        </w:rPr>
        <w:t xml:space="preserve"> 202</w:t>
      </w:r>
      <w:r w:rsidR="00A04E3A">
        <w:rPr>
          <w:rFonts w:eastAsia="Calibri"/>
          <w:lang w:eastAsia="en-US"/>
        </w:rPr>
        <w:t>2</w:t>
      </w:r>
      <w:r w:rsidRPr="006419B6">
        <w:rPr>
          <w:rFonts w:eastAsia="Calibri"/>
          <w:lang w:eastAsia="en-US"/>
        </w:rPr>
        <w:t xml:space="preserve">. i uključuje prihode i </w:t>
      </w:r>
      <w:r w:rsidR="00E97FD9" w:rsidRPr="006419B6">
        <w:rPr>
          <w:rFonts w:eastAsia="Calibri"/>
          <w:lang w:eastAsia="en-US"/>
        </w:rPr>
        <w:t>rashode HAKOM-a</w:t>
      </w:r>
      <w:r w:rsidR="00E97FD9">
        <w:rPr>
          <w:rFonts w:eastAsia="Calibri"/>
          <w:lang w:eastAsia="en-US"/>
        </w:rPr>
        <w:t>.</w:t>
      </w:r>
      <w:r w:rsidR="00E97FD9" w:rsidRPr="006419B6">
        <w:rPr>
          <w:rFonts w:eastAsia="Calibri"/>
          <w:lang w:eastAsia="en-US"/>
        </w:rPr>
        <w:t xml:space="preserve"> </w:t>
      </w:r>
      <w:r w:rsidR="00E97FD9">
        <w:rPr>
          <w:rFonts w:eastAsia="Calibri"/>
          <w:lang w:eastAsia="en-US"/>
        </w:rPr>
        <w:t>Primici</w:t>
      </w:r>
      <w:r w:rsidRPr="006419B6">
        <w:rPr>
          <w:rFonts w:eastAsia="Calibri"/>
          <w:lang w:eastAsia="en-US"/>
        </w:rPr>
        <w:t xml:space="preserve"> </w:t>
      </w:r>
      <w:r w:rsidR="00E97FD9">
        <w:rPr>
          <w:rFonts w:eastAsia="Calibri"/>
          <w:lang w:eastAsia="en-US"/>
        </w:rPr>
        <w:t xml:space="preserve">i izdaci nisu </w:t>
      </w:r>
      <w:r w:rsidR="00DB5CBF">
        <w:rPr>
          <w:rFonts w:eastAsia="Calibri"/>
          <w:lang w:eastAsia="en-US"/>
        </w:rPr>
        <w:t>evidentirani</w:t>
      </w:r>
      <w:r w:rsidRPr="006419B6">
        <w:rPr>
          <w:rFonts w:eastAsia="Calibri"/>
          <w:lang w:eastAsia="en-US"/>
        </w:rPr>
        <w:t xml:space="preserve">. </w:t>
      </w:r>
    </w:p>
    <w:p w14:paraId="15A5E050" w14:textId="77777777" w:rsidR="00A65998" w:rsidRPr="006419B6" w:rsidRDefault="00A65998" w:rsidP="00A65998">
      <w:pPr>
        <w:suppressAutoHyphens/>
        <w:spacing w:before="240" w:after="160" w:line="259" w:lineRule="auto"/>
        <w:contextualSpacing/>
        <w:jc w:val="both"/>
        <w:rPr>
          <w:rFonts w:eastAsia="Calibri"/>
          <w:lang w:eastAsia="en-US"/>
        </w:rPr>
      </w:pPr>
      <w:r w:rsidRPr="006419B6">
        <w:rPr>
          <w:rFonts w:eastAsia="Calibri"/>
          <w:lang w:eastAsia="en-US"/>
        </w:rPr>
        <w:t>Podaci za popunjavanje financijskih izvještaja dobivaju se iz Glavne knjige koju informatički podržava Navision sustav. Poslovanje HAKOM-a obavlja se preko žiro-računa u Hrvatskoj poštanskoj banci d.d. broj: HR7423900011100320173 za kunsko i devizno poslovanje.</w:t>
      </w:r>
    </w:p>
    <w:p w14:paraId="179B120A" w14:textId="77777777" w:rsidR="00A65998" w:rsidRPr="006419B6" w:rsidRDefault="00A65998" w:rsidP="00A65998">
      <w:pPr>
        <w:suppressAutoHyphens/>
        <w:spacing w:before="240" w:after="160" w:line="259" w:lineRule="auto"/>
        <w:contextualSpacing/>
        <w:jc w:val="both"/>
        <w:rPr>
          <w:rFonts w:eastAsia="Calibri"/>
          <w:lang w:eastAsia="en-US"/>
        </w:rPr>
      </w:pPr>
    </w:p>
    <w:p w14:paraId="330FCD38" w14:textId="77777777" w:rsidR="00A65998" w:rsidRPr="006419B6" w:rsidRDefault="00A65998" w:rsidP="00A65998">
      <w:pPr>
        <w:suppressAutoHyphens/>
        <w:spacing w:before="240" w:after="160" w:line="259" w:lineRule="auto"/>
        <w:contextualSpacing/>
        <w:jc w:val="center"/>
        <w:rPr>
          <w:rFonts w:eastAsia="Calibri"/>
          <w:lang w:eastAsia="en-US"/>
        </w:rPr>
      </w:pPr>
      <w:r w:rsidRPr="006419B6">
        <w:rPr>
          <w:rFonts w:eastAsia="Calibri"/>
          <w:lang w:eastAsia="en-US"/>
        </w:rPr>
        <w:t>Bilješka 2.</w:t>
      </w:r>
    </w:p>
    <w:p w14:paraId="0040B10B" w14:textId="77777777" w:rsidR="00A65998" w:rsidRPr="006419B6" w:rsidRDefault="00A65998" w:rsidP="00A65998">
      <w:pPr>
        <w:suppressAutoHyphens/>
        <w:spacing w:before="240" w:after="160" w:line="259" w:lineRule="auto"/>
        <w:contextualSpacing/>
        <w:jc w:val="both"/>
        <w:rPr>
          <w:rFonts w:eastAsia="Calibri"/>
          <w:lang w:eastAsia="en-US"/>
        </w:rPr>
      </w:pPr>
      <w:r w:rsidRPr="006419B6">
        <w:rPr>
          <w:rFonts w:eastAsia="Calibri"/>
          <w:lang w:eastAsia="en-US"/>
        </w:rPr>
        <w:t>U obrascu PR-RAS iskazani su u kunama:</w:t>
      </w:r>
    </w:p>
    <w:tbl>
      <w:tblPr>
        <w:tblW w:w="9243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258"/>
        <w:gridCol w:w="1985"/>
      </w:tblGrid>
      <w:tr w:rsidR="00A65998" w:rsidRPr="006419B6" w14:paraId="07D8E548" w14:textId="77777777" w:rsidTr="00AA61AC">
        <w:trPr>
          <w:trHeight w:val="340"/>
        </w:trPr>
        <w:tc>
          <w:tcPr>
            <w:tcW w:w="7258" w:type="dxa"/>
            <w:shd w:val="clear" w:color="auto" w:fill="auto"/>
            <w:vAlign w:val="center"/>
          </w:tcPr>
          <w:p w14:paraId="4CD4A25A" w14:textId="5DF4E3C0" w:rsidR="00A65998" w:rsidRPr="006419B6" w:rsidRDefault="00A65998" w:rsidP="00923596">
            <w:pPr>
              <w:numPr>
                <w:ilvl w:val="0"/>
                <w:numId w:val="12"/>
              </w:numPr>
              <w:ind w:left="459"/>
              <w:rPr>
                <w:szCs w:val="20"/>
              </w:rPr>
            </w:pPr>
            <w:bookmarkStart w:id="0" w:name="_Hlk382850900"/>
            <w:r w:rsidRPr="006419B6">
              <w:rPr>
                <w:szCs w:val="20"/>
              </w:rPr>
              <w:t>ukupni prihodi poslovanja (</w:t>
            </w:r>
            <w:r w:rsidR="00923596">
              <w:rPr>
                <w:szCs w:val="20"/>
              </w:rPr>
              <w:t>šifra 6</w:t>
            </w:r>
            <w:r w:rsidRPr="006419B6">
              <w:rPr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6528BF" w14:textId="3AE5CFD0" w:rsidR="00A65998" w:rsidRPr="006419B6" w:rsidRDefault="00923596" w:rsidP="00AA61AC">
            <w:pPr>
              <w:jc w:val="right"/>
              <w:rPr>
                <w:szCs w:val="20"/>
              </w:rPr>
            </w:pPr>
            <w:r w:rsidRPr="00923596">
              <w:rPr>
                <w:rFonts w:eastAsia="Calibri"/>
                <w:szCs w:val="20"/>
                <w:lang w:eastAsia="en-US"/>
              </w:rPr>
              <w:t>64.750.485,57</w:t>
            </w:r>
          </w:p>
        </w:tc>
      </w:tr>
      <w:tr w:rsidR="00A65998" w:rsidRPr="006419B6" w14:paraId="72FCB619" w14:textId="77777777" w:rsidTr="00AA61AC">
        <w:trPr>
          <w:trHeight w:val="340"/>
        </w:trPr>
        <w:tc>
          <w:tcPr>
            <w:tcW w:w="7258" w:type="dxa"/>
            <w:shd w:val="clear" w:color="auto" w:fill="auto"/>
            <w:vAlign w:val="center"/>
          </w:tcPr>
          <w:p w14:paraId="26E0AFFC" w14:textId="65A80D7C" w:rsidR="00A65998" w:rsidRPr="006419B6" w:rsidRDefault="00A65998" w:rsidP="00923596">
            <w:pPr>
              <w:numPr>
                <w:ilvl w:val="0"/>
                <w:numId w:val="12"/>
              </w:numPr>
              <w:ind w:left="459"/>
              <w:rPr>
                <w:szCs w:val="20"/>
              </w:rPr>
            </w:pPr>
            <w:r w:rsidRPr="006419B6">
              <w:rPr>
                <w:szCs w:val="20"/>
              </w:rPr>
              <w:t>ukupni rashodi poslovanja (</w:t>
            </w:r>
            <w:r w:rsidR="00923596">
              <w:rPr>
                <w:szCs w:val="20"/>
              </w:rPr>
              <w:t>šifra Z005</w:t>
            </w:r>
            <w:r w:rsidRPr="006419B6">
              <w:rPr>
                <w:szCs w:val="20"/>
              </w:rPr>
              <w:t xml:space="preserve">)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CC0C33" w14:textId="2FC155DB" w:rsidR="00A65998" w:rsidRPr="006419B6" w:rsidRDefault="00923596" w:rsidP="00AA61AC">
            <w:pPr>
              <w:jc w:val="right"/>
              <w:rPr>
                <w:szCs w:val="20"/>
              </w:rPr>
            </w:pPr>
            <w:r w:rsidRPr="00923596">
              <w:rPr>
                <w:szCs w:val="20"/>
              </w:rPr>
              <w:t>83.939.555,35</w:t>
            </w:r>
          </w:p>
        </w:tc>
      </w:tr>
      <w:tr w:rsidR="00A65998" w:rsidRPr="006419B6" w14:paraId="46EF0D0A" w14:textId="77777777" w:rsidTr="00AA61AC">
        <w:trPr>
          <w:trHeight w:val="340"/>
        </w:trPr>
        <w:tc>
          <w:tcPr>
            <w:tcW w:w="7258" w:type="dxa"/>
            <w:shd w:val="clear" w:color="auto" w:fill="auto"/>
            <w:vAlign w:val="center"/>
          </w:tcPr>
          <w:p w14:paraId="63E2D86A" w14:textId="51FD71A4" w:rsidR="00A65998" w:rsidRPr="006419B6" w:rsidRDefault="00923596" w:rsidP="00923596">
            <w:pPr>
              <w:ind w:firstLine="1026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>manjak</w:t>
            </w:r>
            <w:r w:rsidR="00A65998" w:rsidRPr="006419B6">
              <w:rPr>
                <w:b/>
                <w:bCs/>
                <w:i/>
                <w:iCs/>
                <w:szCs w:val="20"/>
              </w:rPr>
              <w:t xml:space="preserve"> prihoda poslovanja (</w:t>
            </w:r>
            <w:r>
              <w:rPr>
                <w:b/>
                <w:bCs/>
                <w:i/>
                <w:iCs/>
                <w:szCs w:val="20"/>
              </w:rPr>
              <w:t>šifra Y001</w:t>
            </w:r>
            <w:r w:rsidR="00A65998" w:rsidRPr="006419B6">
              <w:rPr>
                <w:b/>
                <w:bCs/>
                <w:i/>
                <w:iCs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9533C0" w14:textId="24CF6841" w:rsidR="00A65998" w:rsidRPr="006419B6" w:rsidRDefault="00923596" w:rsidP="00AA61AC">
            <w:pPr>
              <w:jc w:val="right"/>
              <w:rPr>
                <w:b/>
                <w:bCs/>
                <w:i/>
                <w:iCs/>
                <w:szCs w:val="20"/>
              </w:rPr>
            </w:pPr>
            <w:r w:rsidRPr="00923596">
              <w:rPr>
                <w:b/>
                <w:bCs/>
                <w:i/>
                <w:iCs/>
                <w:szCs w:val="20"/>
              </w:rPr>
              <w:t>19.189.069,78</w:t>
            </w:r>
          </w:p>
        </w:tc>
      </w:tr>
      <w:tr w:rsidR="00A65998" w:rsidRPr="006419B6" w14:paraId="0CCD1F69" w14:textId="77777777" w:rsidTr="00AA61AC">
        <w:trPr>
          <w:trHeight w:val="340"/>
        </w:trPr>
        <w:tc>
          <w:tcPr>
            <w:tcW w:w="7258" w:type="dxa"/>
            <w:shd w:val="clear" w:color="auto" w:fill="auto"/>
            <w:vAlign w:val="center"/>
          </w:tcPr>
          <w:p w14:paraId="5BD40CA0" w14:textId="57B829E5" w:rsidR="00A65998" w:rsidRPr="006419B6" w:rsidRDefault="00A65998" w:rsidP="00FE1864">
            <w:pPr>
              <w:numPr>
                <w:ilvl w:val="0"/>
                <w:numId w:val="12"/>
              </w:numPr>
              <w:ind w:left="459"/>
              <w:rPr>
                <w:szCs w:val="20"/>
              </w:rPr>
            </w:pPr>
            <w:r w:rsidRPr="006419B6">
              <w:rPr>
                <w:szCs w:val="20"/>
              </w:rPr>
              <w:t>ukupni prihodi od prodaje nefinancijske imovine (</w:t>
            </w:r>
            <w:r w:rsidR="00FE1864">
              <w:rPr>
                <w:szCs w:val="20"/>
              </w:rPr>
              <w:t>šifra 7</w:t>
            </w:r>
            <w:r w:rsidRPr="006419B6">
              <w:rPr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F547B7" w14:textId="79B2F257" w:rsidR="00A65998" w:rsidRPr="006419B6" w:rsidRDefault="00FE1864" w:rsidP="00AA61AC">
            <w:pPr>
              <w:jc w:val="right"/>
              <w:rPr>
                <w:szCs w:val="20"/>
              </w:rPr>
            </w:pPr>
            <w:r w:rsidRPr="00FE1864">
              <w:rPr>
                <w:rFonts w:eastAsia="Calibri"/>
                <w:szCs w:val="20"/>
                <w:lang w:eastAsia="en-US"/>
              </w:rPr>
              <w:t>140.826,50</w:t>
            </w:r>
          </w:p>
        </w:tc>
      </w:tr>
      <w:tr w:rsidR="00A65998" w:rsidRPr="006419B6" w14:paraId="449DF236" w14:textId="77777777" w:rsidTr="00AA61AC">
        <w:trPr>
          <w:trHeight w:val="340"/>
        </w:trPr>
        <w:tc>
          <w:tcPr>
            <w:tcW w:w="7258" w:type="dxa"/>
            <w:shd w:val="clear" w:color="auto" w:fill="auto"/>
            <w:vAlign w:val="center"/>
          </w:tcPr>
          <w:p w14:paraId="343AB039" w14:textId="0117105A" w:rsidR="00A65998" w:rsidRPr="006419B6" w:rsidRDefault="00A65998" w:rsidP="006E2250">
            <w:pPr>
              <w:numPr>
                <w:ilvl w:val="0"/>
                <w:numId w:val="12"/>
              </w:numPr>
              <w:ind w:left="459"/>
              <w:rPr>
                <w:szCs w:val="20"/>
              </w:rPr>
            </w:pPr>
            <w:r w:rsidRPr="006419B6">
              <w:rPr>
                <w:szCs w:val="20"/>
              </w:rPr>
              <w:t xml:space="preserve">ukupni rashodi za nabavu nefinancijske </w:t>
            </w:r>
            <w:r w:rsidR="001013CC">
              <w:rPr>
                <w:szCs w:val="20"/>
              </w:rPr>
              <w:t>imovine (</w:t>
            </w:r>
            <w:r w:rsidR="006E2250">
              <w:rPr>
                <w:szCs w:val="20"/>
              </w:rPr>
              <w:t xml:space="preserve">šifra </w:t>
            </w:r>
            <w:r w:rsidR="001013CC">
              <w:rPr>
                <w:szCs w:val="20"/>
              </w:rPr>
              <w:t>4</w:t>
            </w:r>
            <w:r w:rsidRPr="006419B6">
              <w:rPr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875392" w14:textId="2E0D3B20" w:rsidR="00A65998" w:rsidRPr="006419B6" w:rsidRDefault="006E2250" w:rsidP="00AA61AC">
            <w:pPr>
              <w:jc w:val="right"/>
              <w:rPr>
                <w:szCs w:val="20"/>
              </w:rPr>
            </w:pPr>
            <w:r w:rsidRPr="006E2250">
              <w:rPr>
                <w:szCs w:val="20"/>
              </w:rPr>
              <w:t>10.431.684,95</w:t>
            </w:r>
          </w:p>
        </w:tc>
      </w:tr>
      <w:tr w:rsidR="00A65998" w:rsidRPr="006419B6" w14:paraId="0D29B947" w14:textId="77777777" w:rsidTr="00AA61AC">
        <w:trPr>
          <w:trHeight w:val="340"/>
        </w:trPr>
        <w:tc>
          <w:tcPr>
            <w:tcW w:w="7258" w:type="dxa"/>
            <w:shd w:val="clear" w:color="auto" w:fill="auto"/>
            <w:vAlign w:val="center"/>
          </w:tcPr>
          <w:p w14:paraId="7A61EA37" w14:textId="057BBF71" w:rsidR="00A65998" w:rsidRPr="006419B6" w:rsidRDefault="00A65998" w:rsidP="00EC3DDC">
            <w:pPr>
              <w:ind w:firstLine="1026"/>
              <w:rPr>
                <w:b/>
                <w:bCs/>
                <w:i/>
                <w:iCs/>
                <w:szCs w:val="20"/>
              </w:rPr>
            </w:pPr>
            <w:r w:rsidRPr="006419B6">
              <w:rPr>
                <w:b/>
                <w:bCs/>
                <w:i/>
                <w:iCs/>
                <w:szCs w:val="20"/>
              </w:rPr>
              <w:t>manjak prihoda o</w:t>
            </w:r>
            <w:r w:rsidR="001013CC">
              <w:rPr>
                <w:b/>
                <w:bCs/>
                <w:i/>
                <w:iCs/>
                <w:szCs w:val="20"/>
              </w:rPr>
              <w:t>d nefinancijske imovine (</w:t>
            </w:r>
            <w:r w:rsidR="00EC3DDC">
              <w:rPr>
                <w:b/>
                <w:bCs/>
                <w:i/>
                <w:iCs/>
                <w:szCs w:val="20"/>
              </w:rPr>
              <w:t>šifra Y002</w:t>
            </w:r>
            <w:r w:rsidRPr="006419B6">
              <w:rPr>
                <w:b/>
                <w:bCs/>
                <w:i/>
                <w:iCs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632FB4" w14:textId="43A6588A" w:rsidR="00A65998" w:rsidRPr="006419B6" w:rsidRDefault="00EC3DDC" w:rsidP="00AA61AC">
            <w:pPr>
              <w:jc w:val="right"/>
              <w:rPr>
                <w:b/>
                <w:bCs/>
                <w:i/>
                <w:iCs/>
                <w:szCs w:val="20"/>
              </w:rPr>
            </w:pPr>
            <w:r w:rsidRPr="00EC3DDC">
              <w:rPr>
                <w:b/>
                <w:bCs/>
                <w:i/>
                <w:iCs/>
                <w:szCs w:val="20"/>
              </w:rPr>
              <w:t>10.290.858,45</w:t>
            </w:r>
          </w:p>
        </w:tc>
      </w:tr>
      <w:tr w:rsidR="00A65998" w:rsidRPr="006419B6" w14:paraId="1FA1D918" w14:textId="77777777" w:rsidTr="00AA61AC">
        <w:trPr>
          <w:trHeight w:val="340"/>
        </w:trPr>
        <w:tc>
          <w:tcPr>
            <w:tcW w:w="7258" w:type="dxa"/>
            <w:shd w:val="clear" w:color="auto" w:fill="auto"/>
            <w:vAlign w:val="center"/>
          </w:tcPr>
          <w:p w14:paraId="14B584B4" w14:textId="25DE703E" w:rsidR="00A65998" w:rsidRPr="006419B6" w:rsidRDefault="00E8259B" w:rsidP="00EE27DD">
            <w:pPr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>manjak</w:t>
            </w:r>
            <w:r w:rsidR="00A65998" w:rsidRPr="006419B6">
              <w:rPr>
                <w:b/>
                <w:bCs/>
                <w:i/>
                <w:iCs/>
                <w:szCs w:val="20"/>
              </w:rPr>
              <w:t xml:space="preserve"> prihoda i primitaka u promatranom razdoblju (</w:t>
            </w:r>
            <w:r w:rsidR="00EE27DD">
              <w:rPr>
                <w:b/>
                <w:bCs/>
                <w:i/>
                <w:iCs/>
                <w:szCs w:val="20"/>
              </w:rPr>
              <w:t>šifra Y005</w:t>
            </w:r>
            <w:r w:rsidR="00A65998" w:rsidRPr="006419B6">
              <w:rPr>
                <w:b/>
                <w:bCs/>
                <w:i/>
                <w:iCs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B0B1CE" w14:textId="7541D841" w:rsidR="00A65998" w:rsidRPr="006419B6" w:rsidRDefault="00EE27DD" w:rsidP="00AA61AC">
            <w:pPr>
              <w:jc w:val="right"/>
              <w:rPr>
                <w:b/>
                <w:bCs/>
                <w:i/>
                <w:iCs/>
                <w:szCs w:val="20"/>
              </w:rPr>
            </w:pPr>
            <w:r w:rsidRPr="00EE27DD">
              <w:rPr>
                <w:b/>
                <w:bCs/>
                <w:i/>
                <w:iCs/>
                <w:szCs w:val="20"/>
              </w:rPr>
              <w:t>29.479.928,23</w:t>
            </w:r>
          </w:p>
        </w:tc>
      </w:tr>
      <w:tr w:rsidR="00A65998" w:rsidRPr="006419B6" w14:paraId="27FF1756" w14:textId="77777777" w:rsidTr="00AA61AC">
        <w:trPr>
          <w:trHeight w:val="340"/>
        </w:trPr>
        <w:tc>
          <w:tcPr>
            <w:tcW w:w="7258" w:type="dxa"/>
            <w:shd w:val="clear" w:color="auto" w:fill="auto"/>
            <w:vAlign w:val="center"/>
          </w:tcPr>
          <w:p w14:paraId="1F123C79" w14:textId="64AC4087" w:rsidR="00A65998" w:rsidRPr="006419B6" w:rsidRDefault="00A65998" w:rsidP="00EE27DD">
            <w:pPr>
              <w:rPr>
                <w:bCs/>
                <w:i/>
                <w:iCs/>
                <w:szCs w:val="20"/>
              </w:rPr>
            </w:pPr>
            <w:r w:rsidRPr="006419B6">
              <w:rPr>
                <w:bCs/>
                <w:i/>
                <w:iCs/>
                <w:szCs w:val="20"/>
              </w:rPr>
              <w:t>višak prihoda i primitaka – preneseni (</w:t>
            </w:r>
            <w:r w:rsidR="00EE27DD">
              <w:rPr>
                <w:bCs/>
                <w:i/>
                <w:iCs/>
                <w:szCs w:val="20"/>
              </w:rPr>
              <w:t xml:space="preserve">šifra </w:t>
            </w:r>
            <w:r w:rsidR="00EE27DD" w:rsidRPr="00EE27DD">
              <w:rPr>
                <w:bCs/>
                <w:i/>
                <w:iCs/>
                <w:szCs w:val="20"/>
              </w:rPr>
              <w:t>9221-9222</w:t>
            </w:r>
            <w:r w:rsidRPr="006419B6">
              <w:rPr>
                <w:bCs/>
                <w:i/>
                <w:iCs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A69DC4" w14:textId="2C15AE7B" w:rsidR="00A65998" w:rsidRPr="006419B6" w:rsidRDefault="00EE27DD" w:rsidP="00AA61AC">
            <w:pPr>
              <w:jc w:val="right"/>
              <w:rPr>
                <w:bCs/>
                <w:i/>
                <w:iCs/>
                <w:szCs w:val="20"/>
              </w:rPr>
            </w:pPr>
            <w:r w:rsidRPr="00EE27DD">
              <w:rPr>
                <w:bCs/>
                <w:i/>
                <w:iCs/>
                <w:szCs w:val="20"/>
              </w:rPr>
              <w:t>44.319.205,67</w:t>
            </w:r>
          </w:p>
        </w:tc>
      </w:tr>
      <w:tr w:rsidR="00A65998" w:rsidRPr="006419B6" w14:paraId="24E88A3E" w14:textId="77777777" w:rsidTr="00AA61AC">
        <w:trPr>
          <w:trHeight w:val="340"/>
        </w:trPr>
        <w:tc>
          <w:tcPr>
            <w:tcW w:w="7258" w:type="dxa"/>
            <w:shd w:val="clear" w:color="auto" w:fill="auto"/>
            <w:vAlign w:val="center"/>
          </w:tcPr>
          <w:p w14:paraId="002EFB63" w14:textId="43147332" w:rsidR="00A65998" w:rsidRPr="006419B6" w:rsidRDefault="00A65998" w:rsidP="000C0A30">
            <w:pPr>
              <w:rPr>
                <w:b/>
                <w:bCs/>
                <w:i/>
                <w:iCs/>
                <w:szCs w:val="20"/>
              </w:rPr>
            </w:pPr>
            <w:r w:rsidRPr="006419B6">
              <w:rPr>
                <w:b/>
                <w:bCs/>
                <w:i/>
                <w:iCs/>
                <w:szCs w:val="20"/>
              </w:rPr>
              <w:t>višak prihoda i primitaka raspoloži</w:t>
            </w:r>
            <w:r w:rsidR="001013CC">
              <w:rPr>
                <w:b/>
                <w:bCs/>
                <w:i/>
                <w:iCs/>
                <w:szCs w:val="20"/>
              </w:rPr>
              <w:t>v u sljedećem razdoblju (</w:t>
            </w:r>
            <w:r w:rsidR="000C0A30">
              <w:rPr>
                <w:b/>
                <w:bCs/>
                <w:i/>
                <w:iCs/>
                <w:szCs w:val="20"/>
              </w:rPr>
              <w:t>šifra X006</w:t>
            </w:r>
            <w:r w:rsidRPr="006419B6">
              <w:rPr>
                <w:b/>
                <w:bCs/>
                <w:i/>
                <w:iCs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6EC0D6" w14:textId="085B0F62" w:rsidR="00A65998" w:rsidRPr="006419B6" w:rsidRDefault="00B75FBA" w:rsidP="00AA61AC">
            <w:pPr>
              <w:jc w:val="right"/>
              <w:rPr>
                <w:b/>
                <w:bCs/>
                <w:i/>
                <w:iCs/>
                <w:szCs w:val="20"/>
              </w:rPr>
            </w:pPr>
            <w:r w:rsidRPr="00B75FBA">
              <w:rPr>
                <w:b/>
                <w:bCs/>
                <w:i/>
                <w:iCs/>
                <w:szCs w:val="20"/>
              </w:rPr>
              <w:t>14.839.277,44</w:t>
            </w:r>
          </w:p>
        </w:tc>
      </w:tr>
    </w:tbl>
    <w:bookmarkEnd w:id="0"/>
    <w:p w14:paraId="33950DBD" w14:textId="2EEEFD9C" w:rsidR="004E7292" w:rsidRDefault="00A65998" w:rsidP="007938FD">
      <w:pPr>
        <w:keepNext/>
        <w:jc w:val="both"/>
      </w:pPr>
      <w:r w:rsidRPr="004E7292">
        <w:lastRenderedPageBreak/>
        <w:t>U razdoblju od 1. siječnja do 3</w:t>
      </w:r>
      <w:r w:rsidR="00F336CD" w:rsidRPr="004E7292">
        <w:t>1</w:t>
      </w:r>
      <w:r w:rsidRPr="004E7292">
        <w:t xml:space="preserve">. </w:t>
      </w:r>
      <w:r w:rsidR="00F336CD" w:rsidRPr="004E7292">
        <w:t>prosinca</w:t>
      </w:r>
      <w:r w:rsidRPr="004E7292">
        <w:t xml:space="preserve"> 202</w:t>
      </w:r>
      <w:r w:rsidR="00246565" w:rsidRPr="004E7292">
        <w:t>2</w:t>
      </w:r>
      <w:r w:rsidRPr="004E7292">
        <w:t>. prihodi</w:t>
      </w:r>
      <w:r w:rsidRPr="006419B6">
        <w:t xml:space="preserve"> poslovanja su ostvareni u iznosu od </w:t>
      </w:r>
      <w:r w:rsidR="004E7292" w:rsidRPr="004E7292">
        <w:t>64.750.485,57</w:t>
      </w:r>
      <w:r w:rsidRPr="006419B6">
        <w:t xml:space="preserve"> kn, odnosno </w:t>
      </w:r>
      <w:r w:rsidR="004E7292">
        <w:t>35,4</w:t>
      </w:r>
      <w:r w:rsidRPr="006419B6">
        <w:t xml:space="preserve">% </w:t>
      </w:r>
      <w:r w:rsidR="004E7292">
        <w:t>manje</w:t>
      </w:r>
      <w:r w:rsidRPr="006419B6">
        <w:t xml:space="preserve"> nego u istom razdoblju prethodne godine. </w:t>
      </w:r>
      <w:r w:rsidR="004E7292" w:rsidRPr="00C66696">
        <w:t xml:space="preserve">Smanjenje ukupnih prihoda poslovanja proizašlo je najvećim dijelom iz </w:t>
      </w:r>
      <w:r w:rsidR="00BE1106" w:rsidRPr="00C66696">
        <w:t>smanjenja</w:t>
      </w:r>
      <w:r w:rsidR="004E7292" w:rsidRPr="00C66696">
        <w:t xml:space="preserve"> prihoda po posebnim propisima uslijed </w:t>
      </w:r>
      <w:r w:rsidR="0019455C" w:rsidRPr="00C66696">
        <w:t xml:space="preserve">smanjenja naknada za obavljanje poslova HAKOM-a u 2022. i obročne otplate istih. Isto tako, u </w:t>
      </w:r>
      <w:r w:rsidR="00C824F3" w:rsidRPr="00C66696">
        <w:t>promatranom razdoblju prethodne</w:t>
      </w:r>
      <w:r w:rsidR="0019455C" w:rsidRPr="00C66696">
        <w:t xml:space="preserve"> </w:t>
      </w:r>
      <w:r w:rsidR="00C824F3" w:rsidRPr="00C66696">
        <w:t>godine</w:t>
      </w:r>
      <w:r w:rsidR="0019455C" w:rsidRPr="00C66696">
        <w:t xml:space="preserve"> naplaćene su naknade</w:t>
      </w:r>
      <w:r w:rsidR="004E7292" w:rsidRPr="00C66696">
        <w:t xml:space="preserve"> za uporabu radiofrekvencijskog (RF) spektra za mreže pokretnih komunikacija pete generacije (5G) nakon provedenog postupka javne dražbe</w:t>
      </w:r>
      <w:r w:rsidR="0036466E" w:rsidRPr="00C66696">
        <w:t xml:space="preserve"> </w:t>
      </w:r>
      <w:r w:rsidR="00F11506" w:rsidRPr="00C66696">
        <w:t>što nije ostvareno</w:t>
      </w:r>
      <w:r w:rsidR="0036466E" w:rsidRPr="00C66696">
        <w:t xml:space="preserve"> i u 2022</w:t>
      </w:r>
      <w:r w:rsidR="004E7292" w:rsidRPr="00C66696">
        <w:t>.</w:t>
      </w:r>
    </w:p>
    <w:p w14:paraId="7C1A7F05" w14:textId="77777777" w:rsidR="00BE1106" w:rsidRDefault="00BE1106" w:rsidP="007938FD">
      <w:pPr>
        <w:keepNext/>
        <w:jc w:val="both"/>
      </w:pPr>
    </w:p>
    <w:p w14:paraId="177ABF0A" w14:textId="64D041C6" w:rsidR="00122C0D" w:rsidRDefault="00A65998" w:rsidP="00122C0D">
      <w:pPr>
        <w:keepNext/>
        <w:jc w:val="both"/>
      </w:pPr>
      <w:r w:rsidRPr="006419B6">
        <w:t xml:space="preserve">Rashodi poslovanja ostvareni su u iznosu od </w:t>
      </w:r>
      <w:r w:rsidR="00364C4F" w:rsidRPr="00364C4F">
        <w:t>83.939.555,35</w:t>
      </w:r>
      <w:r w:rsidR="00A13B22">
        <w:t xml:space="preserve"> </w:t>
      </w:r>
      <w:r w:rsidRPr="006419B6">
        <w:t xml:space="preserve">kn, odnosno za </w:t>
      </w:r>
      <w:r w:rsidR="00D90FD8">
        <w:t>7,5</w:t>
      </w:r>
      <w:r w:rsidRPr="006419B6">
        <w:t xml:space="preserve">% </w:t>
      </w:r>
      <w:r w:rsidR="00E858A7">
        <w:t xml:space="preserve">su </w:t>
      </w:r>
      <w:r w:rsidR="00D90FD8">
        <w:t>veći</w:t>
      </w:r>
      <w:r w:rsidRPr="006419B6">
        <w:t xml:space="preserve"> nego u promatranom razdoblju prethodne godine</w:t>
      </w:r>
      <w:r w:rsidR="006614EA">
        <w:t>.</w:t>
      </w:r>
      <w:r w:rsidR="00A13B22">
        <w:t xml:space="preserve"> </w:t>
      </w:r>
      <w:r w:rsidR="00122C0D" w:rsidRPr="006419B6">
        <w:t xml:space="preserve">Rast ukupnih rashoda poslovanja proizašao je najvećim dijelom iz rasta </w:t>
      </w:r>
      <w:r w:rsidR="00122C0D">
        <w:t>rashoda za zaposlene</w:t>
      </w:r>
      <w:r w:rsidR="00122C0D" w:rsidRPr="006419B6">
        <w:t xml:space="preserve">, </w:t>
      </w:r>
      <w:r w:rsidR="000D0997">
        <w:t xml:space="preserve">rashoda </w:t>
      </w:r>
      <w:r w:rsidR="00122C0D">
        <w:t xml:space="preserve">za </w:t>
      </w:r>
      <w:r w:rsidR="009B12B8">
        <w:t>službena putovanja, uredski</w:t>
      </w:r>
      <w:r w:rsidR="009B12B8" w:rsidRPr="009B12B8">
        <w:t xml:space="preserve"> materijal</w:t>
      </w:r>
      <w:r w:rsidR="009B12B8">
        <w:t xml:space="preserve"> i ostale materijalne rashode,</w:t>
      </w:r>
      <w:r w:rsidR="009B12B8" w:rsidRPr="009B12B8">
        <w:t xml:space="preserve"> </w:t>
      </w:r>
      <w:r w:rsidR="00F64CB1">
        <w:t xml:space="preserve">energiju, </w:t>
      </w:r>
      <w:r w:rsidR="00F64CB1" w:rsidRPr="00F64CB1">
        <w:t>usluge tekućeg i investicijskog održavanja</w:t>
      </w:r>
      <w:r w:rsidR="00F64CB1">
        <w:t>,</w:t>
      </w:r>
      <w:r w:rsidR="00F64CB1" w:rsidRPr="00F64CB1">
        <w:t xml:space="preserve"> usluge promidžbe i informiranja</w:t>
      </w:r>
      <w:r w:rsidR="00F64CB1">
        <w:t xml:space="preserve">, </w:t>
      </w:r>
      <w:r w:rsidR="0024573A">
        <w:t xml:space="preserve">računalne usluge i troškova reprezentacije. </w:t>
      </w:r>
      <w:r w:rsidR="0024573A" w:rsidRPr="0024573A">
        <w:t>S druge strane</w:t>
      </w:r>
      <w:r w:rsidR="0024573A" w:rsidRPr="00695C90">
        <w:t xml:space="preserve">, zakupnine i najamnine, </w:t>
      </w:r>
      <w:r w:rsidR="00B917E8">
        <w:t>intelektualne i osobne usluge te premije osiguranja</w:t>
      </w:r>
      <w:r w:rsidR="0024573A" w:rsidRPr="0024573A">
        <w:t xml:space="preserve"> su se </w:t>
      </w:r>
      <w:r w:rsidR="00B917E8">
        <w:t>smanjile</w:t>
      </w:r>
      <w:r w:rsidR="0024573A" w:rsidRPr="0024573A">
        <w:t>.</w:t>
      </w:r>
    </w:p>
    <w:p w14:paraId="257489C3" w14:textId="77777777" w:rsidR="00BF78CD" w:rsidRPr="006419B6" w:rsidRDefault="00BF78CD" w:rsidP="00122C0D">
      <w:pPr>
        <w:keepNext/>
        <w:jc w:val="both"/>
      </w:pPr>
    </w:p>
    <w:p w14:paraId="770311AB" w14:textId="0DD3BC42" w:rsidR="00122C0D" w:rsidRDefault="00122C0D" w:rsidP="00122C0D">
      <w:pPr>
        <w:keepNext/>
        <w:jc w:val="both"/>
      </w:pPr>
      <w:r w:rsidRPr="006419B6">
        <w:t xml:space="preserve">Manjak prihoda poslovanja utvrđen za promatrano razdoblje iznosi </w:t>
      </w:r>
      <w:r w:rsidR="00F35021" w:rsidRPr="00F35021">
        <w:t>19.189.069,78</w:t>
      </w:r>
      <w:r w:rsidRPr="006419B6">
        <w:t xml:space="preserve"> kn. </w:t>
      </w:r>
      <w:r>
        <w:t>P</w:t>
      </w:r>
      <w:r w:rsidRPr="006419B6">
        <w:t>renesen</w:t>
      </w:r>
      <w:r>
        <w:t>i</w:t>
      </w:r>
      <w:r w:rsidRPr="006419B6">
        <w:t xml:space="preserve"> višak prihoda poslovanja </w:t>
      </w:r>
      <w:r w:rsidRPr="002B2F14">
        <w:t xml:space="preserve">iznosi </w:t>
      </w:r>
      <w:r w:rsidR="00F35021" w:rsidRPr="00F35021">
        <w:t>44.319.205,67</w:t>
      </w:r>
      <w:r w:rsidRPr="002B2F14">
        <w:t xml:space="preserve"> kn.</w:t>
      </w:r>
    </w:p>
    <w:p w14:paraId="08171E13" w14:textId="77777777" w:rsidR="00A65998" w:rsidRPr="006419B6" w:rsidRDefault="00A65998" w:rsidP="00A65998">
      <w:pPr>
        <w:keepNext/>
        <w:jc w:val="both"/>
      </w:pPr>
    </w:p>
    <w:p w14:paraId="04A27A65" w14:textId="19E72864" w:rsidR="00072786" w:rsidRDefault="00A65998" w:rsidP="00A65998">
      <w:pPr>
        <w:keepNext/>
        <w:jc w:val="both"/>
      </w:pPr>
      <w:r w:rsidRPr="006419B6">
        <w:t>Prihodi od prodaje nefinancijske imovine ostvareni su u razdoblju od 1. siječnja do 3</w:t>
      </w:r>
      <w:r w:rsidR="005768FD">
        <w:t>1</w:t>
      </w:r>
      <w:r w:rsidRPr="006419B6">
        <w:t xml:space="preserve">. </w:t>
      </w:r>
      <w:r w:rsidR="005768FD">
        <w:t>prosinca</w:t>
      </w:r>
      <w:r w:rsidR="002C5F16">
        <w:t xml:space="preserve"> 202</w:t>
      </w:r>
      <w:r w:rsidR="00336A00">
        <w:t>2</w:t>
      </w:r>
      <w:r w:rsidRPr="006419B6">
        <w:t xml:space="preserve">. u iznosu </w:t>
      </w:r>
      <w:r>
        <w:t xml:space="preserve">od </w:t>
      </w:r>
      <w:r w:rsidR="00336A00" w:rsidRPr="00336A00">
        <w:t>140.826,50</w:t>
      </w:r>
      <w:r w:rsidR="00336A00">
        <w:t xml:space="preserve"> </w:t>
      </w:r>
      <w:r w:rsidRPr="006419B6">
        <w:t xml:space="preserve">kn što predstavlja </w:t>
      </w:r>
      <w:r w:rsidR="002C2163">
        <w:t>povećanje</w:t>
      </w:r>
      <w:r w:rsidRPr="006419B6">
        <w:t xml:space="preserve"> ostvarenja ovih prihoda u odnosu na promatrano razdoblje prethodne go</w:t>
      </w:r>
      <w:r>
        <w:t xml:space="preserve">dine kad su iznosili </w:t>
      </w:r>
      <w:r w:rsidR="002C2163">
        <w:t>76.000,00</w:t>
      </w:r>
      <w:r>
        <w:t xml:space="preserve"> kn. </w:t>
      </w:r>
      <w:r w:rsidR="00072786" w:rsidRPr="00072786">
        <w:t xml:space="preserve">Prihodi od prodaje nefinancijske imovine su </w:t>
      </w:r>
      <w:r w:rsidR="004A4F4A">
        <w:t xml:space="preserve">u 2022. </w:t>
      </w:r>
      <w:r w:rsidR="00072786" w:rsidRPr="00072786">
        <w:t xml:space="preserve">najvećim dijelom ostvareni uslijed prodaje </w:t>
      </w:r>
      <w:r w:rsidR="00F430B4">
        <w:t>dva službena</w:t>
      </w:r>
      <w:r w:rsidR="00072786" w:rsidRPr="00072786">
        <w:t xml:space="preserve"> vozila HAKOM-a.</w:t>
      </w:r>
    </w:p>
    <w:p w14:paraId="79E9736D" w14:textId="683E18F4" w:rsidR="00A65998" w:rsidRPr="006419B6" w:rsidRDefault="000D301C" w:rsidP="00A65998">
      <w:pPr>
        <w:keepNext/>
        <w:jc w:val="both"/>
      </w:pPr>
      <w:r>
        <w:t xml:space="preserve"> </w:t>
      </w:r>
    </w:p>
    <w:p w14:paraId="0BFE031A" w14:textId="2DB71E0D" w:rsidR="00A65998" w:rsidRDefault="00A65998" w:rsidP="00A65998">
      <w:pPr>
        <w:jc w:val="both"/>
      </w:pPr>
      <w:r>
        <w:t xml:space="preserve">Rashodi za nabavu nefinancijske imovine su ostvareni u iznosu od </w:t>
      </w:r>
      <w:r w:rsidR="004A4F4A" w:rsidRPr="004A4F4A">
        <w:t>10.431.684,95</w:t>
      </w:r>
      <w:r>
        <w:t xml:space="preserve"> kn, što predstavlja </w:t>
      </w:r>
      <w:r w:rsidR="004A4F4A">
        <w:t>povećanje</w:t>
      </w:r>
      <w:r>
        <w:t xml:space="preserve"> ostvarenja ovih rashoda u odnosu na promatrano razdoblje prethodne godine </w:t>
      </w:r>
      <w:r w:rsidR="006B3CB2">
        <w:t xml:space="preserve">za </w:t>
      </w:r>
      <w:r w:rsidR="004A4F4A">
        <w:t>48,6</w:t>
      </w:r>
      <w:r w:rsidR="006B3CB2">
        <w:t>%</w:t>
      </w:r>
      <w:r>
        <w:t xml:space="preserve">. </w:t>
      </w:r>
      <w:r w:rsidR="004138CF">
        <w:t>Najveći dio r</w:t>
      </w:r>
      <w:r>
        <w:t>as</w:t>
      </w:r>
      <w:r w:rsidR="004138CF">
        <w:t xml:space="preserve">hoda </w:t>
      </w:r>
      <w:r>
        <w:t xml:space="preserve">za nabavu nefinancijske imovine </w:t>
      </w:r>
      <w:r w:rsidR="004138CF">
        <w:t xml:space="preserve">se odnosi na </w:t>
      </w:r>
      <w:r w:rsidR="00380E4B">
        <w:t xml:space="preserve">ulaganja u računalne programe, na rashode </w:t>
      </w:r>
      <w:r w:rsidR="00380E4B" w:rsidRPr="003B4120">
        <w:t xml:space="preserve">za </w:t>
      </w:r>
      <w:r w:rsidR="00380E4B" w:rsidRPr="004138CF">
        <w:t xml:space="preserve">dodatna ulaganja </w:t>
      </w:r>
      <w:r w:rsidR="00380E4B">
        <w:t xml:space="preserve">za </w:t>
      </w:r>
      <w:r w:rsidR="00380E4B" w:rsidRPr="003B4120">
        <w:t>ostalu nefinancijsku imovinu</w:t>
      </w:r>
      <w:r w:rsidR="00380E4B">
        <w:t xml:space="preserve">, </w:t>
      </w:r>
      <w:r w:rsidR="004138CF">
        <w:t xml:space="preserve">rashode za nabavu </w:t>
      </w:r>
      <w:r w:rsidR="00EC5BA0">
        <w:t>mjernih instrumenata i</w:t>
      </w:r>
      <w:r w:rsidR="00EC5BA0" w:rsidRPr="00EC5BA0">
        <w:t xml:space="preserve"> uređaj</w:t>
      </w:r>
      <w:r w:rsidR="00EC5BA0">
        <w:t>a</w:t>
      </w:r>
      <w:r w:rsidR="00EC7B08">
        <w:t>, uredske opreme</w:t>
      </w:r>
      <w:r w:rsidR="00380E4B">
        <w:t xml:space="preserve"> te</w:t>
      </w:r>
      <w:r w:rsidR="00EC7B08">
        <w:t xml:space="preserve"> </w:t>
      </w:r>
      <w:r w:rsidR="00380E4B">
        <w:t xml:space="preserve">rashoda za nabavu prijevoznih sredstava u cestovnom </w:t>
      </w:r>
      <w:r w:rsidR="00380E4B" w:rsidRPr="003B4120">
        <w:t>prometu</w:t>
      </w:r>
      <w:r w:rsidR="00380E4B">
        <w:t xml:space="preserve">. </w:t>
      </w:r>
    </w:p>
    <w:p w14:paraId="18441CE5" w14:textId="77777777" w:rsidR="00380E4B" w:rsidRDefault="00380E4B" w:rsidP="00A65998">
      <w:pPr>
        <w:jc w:val="both"/>
      </w:pPr>
    </w:p>
    <w:p w14:paraId="2AC9C281" w14:textId="3EC3004C" w:rsidR="00A65998" w:rsidRDefault="00A65998" w:rsidP="00A65998">
      <w:pPr>
        <w:jc w:val="both"/>
      </w:pPr>
      <w:r>
        <w:t xml:space="preserve">Ostvareni manjak prihoda od nefinancijske imovine iznosi </w:t>
      </w:r>
      <w:r w:rsidR="00436041" w:rsidRPr="00436041">
        <w:t>10.290.858,45</w:t>
      </w:r>
      <w:r>
        <w:t xml:space="preserve"> kn te </w:t>
      </w:r>
      <w:r w:rsidR="00436041" w:rsidRPr="00436041">
        <w:t>se povećao u odnosu na ostvarenje u istom razdoblju 20</w:t>
      </w:r>
      <w:r w:rsidR="000F416B">
        <w:t>21</w:t>
      </w:r>
      <w:r w:rsidR="00436041" w:rsidRPr="00436041">
        <w:t xml:space="preserve">.  </w:t>
      </w:r>
      <w:r>
        <w:t xml:space="preserve"> </w:t>
      </w:r>
      <w:r w:rsidR="00EA6B87">
        <w:t xml:space="preserve"> </w:t>
      </w:r>
    </w:p>
    <w:p w14:paraId="1937A256" w14:textId="77777777" w:rsidR="00A65998" w:rsidRDefault="00A65998" w:rsidP="00A65998">
      <w:pPr>
        <w:jc w:val="both"/>
      </w:pPr>
    </w:p>
    <w:p w14:paraId="065B7E0F" w14:textId="304632B1" w:rsidR="00A65998" w:rsidRDefault="00A65998" w:rsidP="00A65998">
      <w:pPr>
        <w:jc w:val="both"/>
      </w:pPr>
      <w:r>
        <w:t>Ukupni rezultat HAKOM-a u 202</w:t>
      </w:r>
      <w:r w:rsidR="0092686C">
        <w:t>2</w:t>
      </w:r>
      <w:r>
        <w:t xml:space="preserve">. je </w:t>
      </w:r>
      <w:r w:rsidR="00E21825">
        <w:t xml:space="preserve">manjak </w:t>
      </w:r>
      <w:r>
        <w:t xml:space="preserve">prihoda i primitaka u iznosu od </w:t>
      </w:r>
      <w:r w:rsidR="00E21825" w:rsidRPr="00E21825">
        <w:t>29.479.928,23</w:t>
      </w:r>
      <w:r>
        <w:t xml:space="preserve"> kn, a s obzirom da prenesen</w:t>
      </w:r>
      <w:r w:rsidR="00A04D4D">
        <w:t>i</w:t>
      </w:r>
      <w:r>
        <w:t xml:space="preserve"> višak prihoda i primitaka </w:t>
      </w:r>
      <w:r w:rsidR="00A04D4D">
        <w:t>i</w:t>
      </w:r>
      <w:r>
        <w:t>znos</w:t>
      </w:r>
      <w:r w:rsidR="00A04D4D">
        <w:t xml:space="preserve">i </w:t>
      </w:r>
      <w:r w:rsidR="00E21825" w:rsidRPr="00E21825">
        <w:t>44.319.205,67</w:t>
      </w:r>
      <w:r>
        <w:t xml:space="preserve"> kn, ukupni višak prihoda i primitaka raspoloživ u sljedećem razdoblju iznosi </w:t>
      </w:r>
      <w:r w:rsidR="00E21825" w:rsidRPr="00E21825">
        <w:t>14.839.277,44</w:t>
      </w:r>
      <w:r>
        <w:t xml:space="preserve"> kn.</w:t>
      </w:r>
      <w:r w:rsidR="00A04D4D">
        <w:t xml:space="preserve"> </w:t>
      </w:r>
      <w:r w:rsidR="00D36EDA">
        <w:t xml:space="preserve"> </w:t>
      </w:r>
      <w:r w:rsidR="00E21825">
        <w:t xml:space="preserve"> </w:t>
      </w:r>
      <w:r w:rsidR="00F85265">
        <w:t xml:space="preserve"> </w:t>
      </w:r>
    </w:p>
    <w:p w14:paraId="63324F3D" w14:textId="77777777" w:rsidR="00271431" w:rsidRDefault="00271431" w:rsidP="00271431">
      <w:pPr>
        <w:jc w:val="center"/>
      </w:pPr>
    </w:p>
    <w:p w14:paraId="341585E2" w14:textId="77777777" w:rsidR="00A65998" w:rsidRDefault="00A65998" w:rsidP="00A65998">
      <w:pPr>
        <w:jc w:val="center"/>
      </w:pPr>
      <w:r>
        <w:t>Bilješka 3.</w:t>
      </w:r>
    </w:p>
    <w:p w14:paraId="38BDF35D" w14:textId="55EFB80C" w:rsidR="00A65998" w:rsidRDefault="00F85265" w:rsidP="00A65998">
      <w:pPr>
        <w:jc w:val="center"/>
      </w:pPr>
      <w:r>
        <w:t>6323</w:t>
      </w:r>
      <w:r w:rsidR="00A65998">
        <w:t xml:space="preserve"> Tekuće pomoći od institucija i tijela EU</w:t>
      </w:r>
    </w:p>
    <w:p w14:paraId="4E1A74C2" w14:textId="77777777" w:rsidR="00EC227D" w:rsidRDefault="00EC227D" w:rsidP="00A65998">
      <w:pPr>
        <w:jc w:val="center"/>
      </w:pPr>
    </w:p>
    <w:p w14:paraId="1C16D471" w14:textId="605EC8DE" w:rsidR="00271431" w:rsidRDefault="00A65998" w:rsidP="00A65998">
      <w:pPr>
        <w:jc w:val="both"/>
      </w:pPr>
      <w:r>
        <w:t>T</w:t>
      </w:r>
      <w:r w:rsidRPr="00B0378B">
        <w:t xml:space="preserve">ekuće pomoći od institucija i tijela EU ostvarene su u </w:t>
      </w:r>
      <w:r>
        <w:t>202</w:t>
      </w:r>
      <w:r w:rsidR="00050D05">
        <w:t>2</w:t>
      </w:r>
      <w:r w:rsidR="001C1B61">
        <w:t xml:space="preserve">. u iznosu od </w:t>
      </w:r>
      <w:r w:rsidR="00050D05" w:rsidRPr="00050D05">
        <w:t>83.857,39</w:t>
      </w:r>
      <w:r w:rsidR="00034B40">
        <w:t xml:space="preserve"> kn što predstavlja povećanje</w:t>
      </w:r>
      <w:r w:rsidRPr="00B0378B">
        <w:t xml:space="preserve"> u odnosu na ostvarenje u prethodnom izvještajnom razdoblju. Od ukupnog iznosa pomoći od EU evidentiranog u izvještaju, </w:t>
      </w:r>
      <w:r w:rsidR="00E537A4" w:rsidRPr="00E537A4">
        <w:t>60.390,72</w:t>
      </w:r>
      <w:r>
        <w:t xml:space="preserve"> kn se odnosi na refundaciju troškova službenih putovanja </w:t>
      </w:r>
      <w:r w:rsidRPr="00D101B8">
        <w:t xml:space="preserve">od BEREC-a </w:t>
      </w:r>
      <w:r>
        <w:t>(</w:t>
      </w:r>
      <w:r w:rsidRPr="00D101B8">
        <w:t>Tijel</w:t>
      </w:r>
      <w:r>
        <w:t>o</w:t>
      </w:r>
      <w:r w:rsidRPr="00D101B8">
        <w:t xml:space="preserve"> europskih regulator</w:t>
      </w:r>
      <w:r>
        <w:t>a za elektroničke komunikacije)</w:t>
      </w:r>
      <w:r w:rsidR="009917FA">
        <w:t xml:space="preserve">, a </w:t>
      </w:r>
      <w:r w:rsidR="00E537A4" w:rsidRPr="00E537A4">
        <w:t>23.466,67</w:t>
      </w:r>
      <w:r w:rsidR="009917FA">
        <w:t xml:space="preserve"> </w:t>
      </w:r>
      <w:r w:rsidR="00FF01D4">
        <w:t xml:space="preserve">kn </w:t>
      </w:r>
      <w:r w:rsidR="009917FA">
        <w:t xml:space="preserve">od </w:t>
      </w:r>
      <w:r w:rsidR="00475E6C">
        <w:t>ostalih tijela EU</w:t>
      </w:r>
      <w:r>
        <w:t xml:space="preserve">. </w:t>
      </w:r>
      <w:r w:rsidR="00312E09">
        <w:t>Povećanje</w:t>
      </w:r>
      <w:r>
        <w:t xml:space="preserve"> prihoda tekućih pomoći od </w:t>
      </w:r>
      <w:r w:rsidRPr="00B701A6">
        <w:t>institucija i tijela EU</w:t>
      </w:r>
      <w:r w:rsidR="003856F3">
        <w:t xml:space="preserve"> je rezultat </w:t>
      </w:r>
      <w:r w:rsidR="00546359">
        <w:t xml:space="preserve">povećanja </w:t>
      </w:r>
      <w:r>
        <w:t xml:space="preserve">inozemnih službenih putovanja </w:t>
      </w:r>
      <w:r w:rsidR="003856F3">
        <w:t>tijekom 202</w:t>
      </w:r>
      <w:r w:rsidR="00546359">
        <w:t>2</w:t>
      </w:r>
      <w:r w:rsidR="003856F3">
        <w:t xml:space="preserve">. </w:t>
      </w:r>
      <w:r w:rsidR="00546359">
        <w:t xml:space="preserve">nakon što su u ranijim razdobljima ista bila ograničena </w:t>
      </w:r>
      <w:r>
        <w:t xml:space="preserve">zbog krize uzrokovane virusom COVID-19. </w:t>
      </w:r>
    </w:p>
    <w:p w14:paraId="0927F7F0" w14:textId="77777777" w:rsidR="006B78D0" w:rsidRDefault="006B78D0" w:rsidP="00A65998">
      <w:pPr>
        <w:jc w:val="both"/>
      </w:pPr>
    </w:p>
    <w:p w14:paraId="1EA19C83" w14:textId="7FB5636C" w:rsidR="003856F3" w:rsidRDefault="003856F3" w:rsidP="003856F3">
      <w:pPr>
        <w:jc w:val="center"/>
      </w:pPr>
      <w:r>
        <w:lastRenderedPageBreak/>
        <w:t>Bilješka 4.</w:t>
      </w:r>
    </w:p>
    <w:p w14:paraId="1A2F8437" w14:textId="60849D26" w:rsidR="003856F3" w:rsidRDefault="009626DE" w:rsidP="003856F3">
      <w:pPr>
        <w:jc w:val="center"/>
      </w:pPr>
      <w:r>
        <w:t>64</w:t>
      </w:r>
      <w:r w:rsidR="003856F3">
        <w:t xml:space="preserve"> </w:t>
      </w:r>
      <w:r w:rsidR="00EC227D">
        <w:t>Prihodi od imovine</w:t>
      </w:r>
    </w:p>
    <w:p w14:paraId="1A17F5D7" w14:textId="77777777" w:rsidR="00EC227D" w:rsidRDefault="00EC227D" w:rsidP="003856F3">
      <w:pPr>
        <w:jc w:val="center"/>
      </w:pPr>
    </w:p>
    <w:p w14:paraId="5546BAEA" w14:textId="3C7876CC" w:rsidR="009626DE" w:rsidRDefault="003856F3" w:rsidP="00A65998">
      <w:pPr>
        <w:jc w:val="both"/>
      </w:pPr>
      <w:r>
        <w:t>Prihodi od imovine su u 202</w:t>
      </w:r>
      <w:r w:rsidR="00C4168A">
        <w:t>2</w:t>
      </w:r>
      <w:r>
        <w:t xml:space="preserve">. evidentirani u iznosu od </w:t>
      </w:r>
      <w:r w:rsidR="00C4168A" w:rsidRPr="00C4168A">
        <w:t>26.866,48</w:t>
      </w:r>
      <w:r>
        <w:t xml:space="preserve"> kn što predstavlja </w:t>
      </w:r>
      <w:r w:rsidR="00C4168A">
        <w:t>povećanje</w:t>
      </w:r>
      <w:r>
        <w:t xml:space="preserve"> u odnosu na 202</w:t>
      </w:r>
      <w:r w:rsidR="00C4168A">
        <w:t>1</w:t>
      </w:r>
      <w:r>
        <w:t xml:space="preserve">. kada su iznosili </w:t>
      </w:r>
      <w:r w:rsidR="00C4168A" w:rsidRPr="00C4168A">
        <w:t>20.644,00</w:t>
      </w:r>
      <w:r>
        <w:t xml:space="preserve"> kn</w:t>
      </w:r>
      <w:r w:rsidR="00F17ACC">
        <w:t xml:space="preserve">. </w:t>
      </w:r>
      <w:r w:rsidR="00DB5965">
        <w:t>Zatezne kamate su redovito obračunate i naplaćene od</w:t>
      </w:r>
      <w:r w:rsidR="00C4168A">
        <w:t xml:space="preserve"> poslovni</w:t>
      </w:r>
      <w:r w:rsidR="00DB5965">
        <w:t>h subjekata</w:t>
      </w:r>
      <w:r w:rsidR="00C4168A">
        <w:t xml:space="preserve"> </w:t>
      </w:r>
      <w:r w:rsidR="00DB5965">
        <w:t xml:space="preserve">koji nisu </w:t>
      </w:r>
      <w:r w:rsidR="00EB7C4B">
        <w:t>podmirili svoje obveze prema HAKOM-u</w:t>
      </w:r>
      <w:r w:rsidR="00DB5965">
        <w:t xml:space="preserve"> </w:t>
      </w:r>
      <w:r w:rsidR="00C4168A">
        <w:t xml:space="preserve">do datuma dospijeća. </w:t>
      </w:r>
      <w:r w:rsidR="009D5352">
        <w:t xml:space="preserve">Najznačajniji iznos pozitivnih tečajnih razlika odnosi se na tečajne razlike nastale prilikom povrata dijela jamčevnog pologa od strane </w:t>
      </w:r>
      <w:r w:rsidR="000B7608">
        <w:t>zakupo</w:t>
      </w:r>
      <w:r w:rsidR="009D5352">
        <w:t xml:space="preserve">davca Officium partnera d.o.o. </w:t>
      </w:r>
      <w:r w:rsidR="00024DBF">
        <w:t>nakon sklapanja novog ugovora o zakupu. K</w:t>
      </w:r>
      <w:r w:rsidR="00F17ACC" w:rsidRPr="00F17ACC">
        <w:t>amate na depozite po viđenju</w:t>
      </w:r>
      <w:r w:rsidR="00F17ACC">
        <w:t xml:space="preserve"> </w:t>
      </w:r>
      <w:r w:rsidR="00C4168A">
        <w:t>nisu materijalno značajne zbog niskih</w:t>
      </w:r>
      <w:r w:rsidR="002A4244">
        <w:t xml:space="preserve"> </w:t>
      </w:r>
      <w:r w:rsidR="00C4168A">
        <w:t>kamatnih stopa</w:t>
      </w:r>
      <w:r w:rsidR="00F17ACC">
        <w:t xml:space="preserve"> poslovne banke.</w:t>
      </w:r>
      <w:r w:rsidR="00C4168A">
        <w:t xml:space="preserve">  </w:t>
      </w:r>
      <w:r w:rsidR="00C80A5A">
        <w:t xml:space="preserve"> </w:t>
      </w:r>
    </w:p>
    <w:p w14:paraId="32E0C180" w14:textId="157D8B50" w:rsidR="00271431" w:rsidRDefault="00602787" w:rsidP="00A65998">
      <w:pPr>
        <w:jc w:val="both"/>
      </w:pPr>
      <w:r>
        <w:t xml:space="preserve"> </w:t>
      </w:r>
    </w:p>
    <w:p w14:paraId="5DA875E9" w14:textId="0B6423C1" w:rsidR="00A65998" w:rsidRDefault="00A65998" w:rsidP="00A65998">
      <w:pPr>
        <w:jc w:val="center"/>
      </w:pPr>
      <w:r>
        <w:t xml:space="preserve">Bilješka </w:t>
      </w:r>
      <w:r w:rsidR="00811D50">
        <w:t>5</w:t>
      </w:r>
      <w:r>
        <w:t>.</w:t>
      </w:r>
    </w:p>
    <w:p w14:paraId="22C0482F" w14:textId="3015034D" w:rsidR="00A65998" w:rsidRDefault="00FC27EE" w:rsidP="00A65998">
      <w:pPr>
        <w:jc w:val="center"/>
      </w:pPr>
      <w:r>
        <w:t>652</w:t>
      </w:r>
      <w:r w:rsidR="00A65998">
        <w:t xml:space="preserve"> Prihodi po posebnim propisima</w:t>
      </w:r>
    </w:p>
    <w:p w14:paraId="1ED2CD1C" w14:textId="77777777" w:rsidR="00EC227D" w:rsidRDefault="00EC227D" w:rsidP="00A65998">
      <w:pPr>
        <w:jc w:val="center"/>
      </w:pPr>
    </w:p>
    <w:p w14:paraId="239F1B41" w14:textId="44D67B45" w:rsidR="000A12B5" w:rsidRPr="000A12B5" w:rsidRDefault="00A65998" w:rsidP="000A12B5">
      <w:pPr>
        <w:suppressAutoHyphens/>
        <w:spacing w:after="160" w:line="259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Pr="000E7D95">
        <w:rPr>
          <w:rFonts w:eastAsia="Calibri"/>
          <w:lang w:eastAsia="en-US"/>
        </w:rPr>
        <w:t>rihod</w:t>
      </w:r>
      <w:r>
        <w:rPr>
          <w:rFonts w:eastAsia="Calibri"/>
          <w:lang w:eastAsia="en-US"/>
        </w:rPr>
        <w:t>i</w:t>
      </w:r>
      <w:r w:rsidRPr="000E7D95">
        <w:rPr>
          <w:rFonts w:eastAsia="Calibri"/>
          <w:lang w:eastAsia="en-US"/>
        </w:rPr>
        <w:t xml:space="preserve"> po posebnim </w:t>
      </w:r>
      <w:r w:rsidRPr="00996A4D">
        <w:rPr>
          <w:rFonts w:eastAsia="Calibri"/>
          <w:lang w:eastAsia="en-US"/>
        </w:rPr>
        <w:t>propisima</w:t>
      </w:r>
      <w:r>
        <w:rPr>
          <w:rFonts w:eastAsia="Calibri"/>
          <w:lang w:eastAsia="en-US"/>
        </w:rPr>
        <w:t>,</w:t>
      </w:r>
      <w:r w:rsidRPr="00996A4D">
        <w:rPr>
          <w:rFonts w:eastAsia="Calibri"/>
          <w:lang w:eastAsia="en-US"/>
        </w:rPr>
        <w:t xml:space="preserve"> koji se </w:t>
      </w:r>
      <w:r>
        <w:rPr>
          <w:rFonts w:eastAsia="Calibri"/>
          <w:lang w:eastAsia="en-US"/>
        </w:rPr>
        <w:t xml:space="preserve">odnose na naknade za uporabu radiofrekvencijskog spektra, naknade za uporabu adresa i brojeva, naknade za obavljanje poslova HAKOM-a u području poštanskih i željezničkih usluga te drugih poslova u području elektroničkih komunikacija, </w:t>
      </w:r>
      <w:r w:rsidRPr="00996A4D">
        <w:t>su</w:t>
      </w:r>
      <w:r w:rsidRPr="00B0378B">
        <w:t xml:space="preserve"> u </w:t>
      </w:r>
      <w:r w:rsidR="004A09F0">
        <w:t>202</w:t>
      </w:r>
      <w:r w:rsidR="00965FEE">
        <w:t>2</w:t>
      </w:r>
      <w:r w:rsidRPr="00B0378B">
        <w:t xml:space="preserve">. </w:t>
      </w:r>
      <w:r>
        <w:t xml:space="preserve">ostvareni </w:t>
      </w:r>
      <w:r w:rsidRPr="00B0378B">
        <w:t xml:space="preserve">u iznosu od </w:t>
      </w:r>
      <w:r w:rsidR="00965FEE" w:rsidRPr="00965FEE">
        <w:rPr>
          <w:rFonts w:eastAsia="Calibri"/>
          <w:lang w:eastAsia="en-US"/>
        </w:rPr>
        <w:t>64.601.735,45</w:t>
      </w:r>
      <w:r w:rsidRPr="00B0387C">
        <w:rPr>
          <w:rFonts w:eastAsia="Calibri"/>
          <w:lang w:eastAsia="en-US"/>
        </w:rPr>
        <w:t xml:space="preserve"> kn</w:t>
      </w:r>
      <w:r w:rsidRPr="00B0387C">
        <w:t xml:space="preserve">, što je </w:t>
      </w:r>
      <w:r w:rsidR="00965FEE">
        <w:t>35,5</w:t>
      </w:r>
      <w:r w:rsidRPr="00B0387C">
        <w:t xml:space="preserve">% </w:t>
      </w:r>
      <w:r w:rsidR="00965FEE">
        <w:t>manje</w:t>
      </w:r>
      <w:r w:rsidRPr="00B0387C">
        <w:t xml:space="preserve"> u odnosu na ostvarenje u prethodnom izvještajnom razdoblju.</w:t>
      </w:r>
      <w:r w:rsidR="000A12B5">
        <w:rPr>
          <w:rFonts w:eastAsia="Calibri"/>
          <w:lang w:eastAsia="en-US"/>
        </w:rPr>
        <w:t xml:space="preserve"> Na </w:t>
      </w:r>
      <w:r w:rsidR="00965FEE">
        <w:rPr>
          <w:rFonts w:eastAsia="Calibri"/>
          <w:lang w:eastAsia="en-US"/>
        </w:rPr>
        <w:t>smanjenje</w:t>
      </w:r>
      <w:r w:rsidR="000A12B5">
        <w:rPr>
          <w:rFonts w:eastAsia="Calibri"/>
          <w:lang w:eastAsia="en-US"/>
        </w:rPr>
        <w:t xml:space="preserve"> prihoda</w:t>
      </w:r>
      <w:r w:rsidR="001468AC">
        <w:rPr>
          <w:rFonts w:eastAsia="Calibri"/>
          <w:lang w:eastAsia="en-US"/>
        </w:rPr>
        <w:t xml:space="preserve"> je </w:t>
      </w:r>
      <w:r w:rsidR="0075388E">
        <w:rPr>
          <w:rFonts w:eastAsia="Calibri"/>
          <w:lang w:eastAsia="en-US"/>
        </w:rPr>
        <w:t xml:space="preserve">najvećim dijelom </w:t>
      </w:r>
      <w:r w:rsidR="00015089">
        <w:rPr>
          <w:rFonts w:eastAsia="Calibri"/>
          <w:lang w:eastAsia="en-US"/>
        </w:rPr>
        <w:t>utjecalo smanjenje određenih naknada i mogućnost obročnog plaćanja temeljem Pravilnika</w:t>
      </w:r>
      <w:r w:rsidR="00015089" w:rsidRPr="00015089">
        <w:rPr>
          <w:rFonts w:eastAsia="Calibri"/>
          <w:lang w:eastAsia="en-US"/>
        </w:rPr>
        <w:t xml:space="preserve"> o plaćanju naknada za obavljanje poslova </w:t>
      </w:r>
      <w:r w:rsidR="00015089" w:rsidRPr="008275DC">
        <w:rPr>
          <w:rFonts w:eastAsia="Calibri"/>
          <w:lang w:eastAsia="en-US"/>
        </w:rPr>
        <w:t>HAKOM-a.</w:t>
      </w:r>
      <w:r w:rsidR="00364970" w:rsidRPr="008275DC">
        <w:rPr>
          <w:rFonts w:eastAsia="Calibri"/>
          <w:lang w:eastAsia="en-US"/>
        </w:rPr>
        <w:t xml:space="preserve"> </w:t>
      </w:r>
      <w:r w:rsidR="003738AA" w:rsidRPr="003738AA">
        <w:rPr>
          <w:rFonts w:eastAsia="Calibri"/>
          <w:lang w:eastAsia="en-US"/>
        </w:rPr>
        <w:t xml:space="preserve">Naknade su smanjenje s namjerom da se utroši višak prihoda akumuliran iz prethodnih razdoblja. </w:t>
      </w:r>
      <w:r w:rsidR="00364970" w:rsidRPr="008275DC">
        <w:rPr>
          <w:rFonts w:eastAsia="Calibri"/>
          <w:lang w:eastAsia="en-US"/>
        </w:rPr>
        <w:t xml:space="preserve">Isto tako, u prethodnoj godini </w:t>
      </w:r>
      <w:r w:rsidR="007B6E12" w:rsidRPr="008275DC">
        <w:rPr>
          <w:rFonts w:eastAsia="Calibri"/>
          <w:lang w:eastAsia="en-US"/>
        </w:rPr>
        <w:t>proveden je postupak javne dražbe nakon kojeg su izdane dozvole za uporabu radiofrekvencijskog (RF) spektra za mreže pokretnih komunikacija pete generacije (5G) na području Republike Hrvatske. Temeljem tih dozvola</w:t>
      </w:r>
      <w:r w:rsidR="00E52433" w:rsidRPr="008275DC">
        <w:rPr>
          <w:rFonts w:eastAsia="Calibri"/>
          <w:lang w:eastAsia="en-US"/>
        </w:rPr>
        <w:t xml:space="preserve"> </w:t>
      </w:r>
      <w:r w:rsidR="00364970" w:rsidRPr="008275DC">
        <w:rPr>
          <w:rFonts w:eastAsia="Calibri"/>
          <w:lang w:eastAsia="en-US"/>
        </w:rPr>
        <w:t xml:space="preserve">naplaćene </w:t>
      </w:r>
      <w:r w:rsidR="007B6E12" w:rsidRPr="008275DC">
        <w:rPr>
          <w:rFonts w:eastAsia="Calibri"/>
          <w:lang w:eastAsia="en-US"/>
        </w:rPr>
        <w:t>su naknade</w:t>
      </w:r>
      <w:r w:rsidR="00C53BB8">
        <w:rPr>
          <w:rFonts w:eastAsia="Calibri"/>
          <w:lang w:eastAsia="en-US"/>
        </w:rPr>
        <w:t>,</w:t>
      </w:r>
      <w:r w:rsidR="00966007" w:rsidRPr="008275DC">
        <w:rPr>
          <w:rFonts w:eastAsia="Calibri"/>
          <w:lang w:eastAsia="en-US"/>
        </w:rPr>
        <w:t xml:space="preserve"> </w:t>
      </w:r>
      <w:r w:rsidR="008275DC">
        <w:rPr>
          <w:rFonts w:eastAsia="Calibri"/>
          <w:lang w:eastAsia="en-US"/>
        </w:rPr>
        <w:t>što nije ostvareno</w:t>
      </w:r>
      <w:r w:rsidR="00966007" w:rsidRPr="008275DC">
        <w:rPr>
          <w:rFonts w:eastAsia="Calibri"/>
          <w:lang w:eastAsia="en-US"/>
        </w:rPr>
        <w:t xml:space="preserve"> i u 2022.</w:t>
      </w:r>
      <w:r w:rsidR="00364970">
        <w:rPr>
          <w:rFonts w:eastAsia="Calibri"/>
          <w:lang w:eastAsia="en-US"/>
        </w:rPr>
        <w:t xml:space="preserve"> </w:t>
      </w:r>
      <w:r w:rsidR="00396101">
        <w:rPr>
          <w:rFonts w:eastAsia="Calibri"/>
          <w:lang w:eastAsia="en-US"/>
        </w:rPr>
        <w:t xml:space="preserve"> </w:t>
      </w:r>
    </w:p>
    <w:p w14:paraId="240C8258" w14:textId="77777777" w:rsidR="006E7D10" w:rsidRDefault="006E7D10" w:rsidP="006E7D10">
      <w:pPr>
        <w:suppressAutoHyphens/>
        <w:spacing w:after="160" w:line="259" w:lineRule="auto"/>
        <w:contextualSpacing/>
        <w:jc w:val="center"/>
        <w:rPr>
          <w:rFonts w:eastAsia="Calibri"/>
          <w:lang w:eastAsia="en-US"/>
        </w:rPr>
      </w:pPr>
    </w:p>
    <w:p w14:paraId="6063B7FD" w14:textId="77B63870" w:rsidR="00B82B1C" w:rsidRDefault="00B82B1C" w:rsidP="00B82B1C">
      <w:pPr>
        <w:jc w:val="center"/>
      </w:pPr>
      <w:r>
        <w:t xml:space="preserve">Bilješka </w:t>
      </w:r>
      <w:r w:rsidR="005B0448">
        <w:t>6</w:t>
      </w:r>
      <w:r>
        <w:t>.</w:t>
      </w:r>
    </w:p>
    <w:p w14:paraId="6C96590C" w14:textId="1CBF9508" w:rsidR="00B82B1C" w:rsidRDefault="00B82B1C" w:rsidP="00B82B1C">
      <w:pPr>
        <w:jc w:val="center"/>
      </w:pPr>
      <w:r w:rsidRPr="000322BC">
        <w:t xml:space="preserve">6632 </w:t>
      </w:r>
      <w:r w:rsidR="005B0448" w:rsidRPr="000322BC">
        <w:t>Kapitalne donacije</w:t>
      </w:r>
    </w:p>
    <w:p w14:paraId="7CC5220E" w14:textId="77777777" w:rsidR="005B0448" w:rsidRDefault="005B0448" w:rsidP="00B82B1C">
      <w:pPr>
        <w:jc w:val="center"/>
      </w:pPr>
    </w:p>
    <w:p w14:paraId="31B85E3C" w14:textId="02714978" w:rsidR="005B0448" w:rsidRDefault="008F699A" w:rsidP="008F699A">
      <w:pPr>
        <w:jc w:val="both"/>
      </w:pPr>
      <w:r>
        <w:t>Kapi</w:t>
      </w:r>
      <w:r w:rsidR="001E30A7">
        <w:t>talne donacije su u 2022. evidentirane</w:t>
      </w:r>
      <w:r>
        <w:t xml:space="preserve"> </w:t>
      </w:r>
      <w:r w:rsidR="002B3359">
        <w:t>u iznosu od 2.000,00 kn te se odnose</w:t>
      </w:r>
      <w:r>
        <w:t xml:space="preserve"> na </w:t>
      </w:r>
      <w:r w:rsidR="00E144CB" w:rsidRPr="00E144CB">
        <w:t>ručno izrađen</w:t>
      </w:r>
      <w:r w:rsidR="00E144CB">
        <w:t>u kinesku vazu</w:t>
      </w:r>
      <w:r w:rsidR="00E144CB" w:rsidRPr="00E144CB">
        <w:t xml:space="preserve"> koju je </w:t>
      </w:r>
      <w:r w:rsidR="00BB059D" w:rsidRPr="00E144CB">
        <w:t>predsjednik Vijeća</w:t>
      </w:r>
      <w:r w:rsidR="00BB059D">
        <w:t xml:space="preserve"> HAKOM-a </w:t>
      </w:r>
      <w:r w:rsidR="00BB059D" w:rsidRPr="00E144CB">
        <w:t>preuzeo</w:t>
      </w:r>
      <w:r w:rsidR="00BB059D">
        <w:t xml:space="preserve"> </w:t>
      </w:r>
      <w:r w:rsidR="00BB059D" w:rsidRPr="00E144CB">
        <w:t>za HAKOM</w:t>
      </w:r>
      <w:r w:rsidR="00BB059D">
        <w:t xml:space="preserve"> </w:t>
      </w:r>
      <w:r w:rsidR="005B3135">
        <w:t>od</w:t>
      </w:r>
      <w:r w:rsidR="005B3135" w:rsidRPr="00E144CB">
        <w:t xml:space="preserve"> predsjednika tvrtke Huawei za središnju i istočnu Europu te za nordijske zemlje</w:t>
      </w:r>
      <w:r w:rsidR="006E53C0">
        <w:t>.</w:t>
      </w:r>
      <w:r w:rsidR="001D219B">
        <w:t xml:space="preserve"> </w:t>
      </w:r>
      <w:r w:rsidR="008C6E7A" w:rsidRPr="008C6E7A">
        <w:t>Povjerenstvo</w:t>
      </w:r>
      <w:r w:rsidR="00BC5E6D">
        <w:t xml:space="preserve"> za procjenu vrijednosti imovine</w:t>
      </w:r>
      <w:r w:rsidR="008C6E7A" w:rsidRPr="008C6E7A">
        <w:t xml:space="preserve"> je provelo postupak interne procjene vrijednosti ručno izrađene kineske vaze</w:t>
      </w:r>
      <w:r w:rsidR="008C6E7A">
        <w:t xml:space="preserve"> te je ista evidentirana u poslovnim knjigama HAKOM-a.</w:t>
      </w:r>
      <w:r w:rsidR="00BB059D">
        <w:t xml:space="preserve">  </w:t>
      </w:r>
    </w:p>
    <w:p w14:paraId="1AAC55C9" w14:textId="77777777" w:rsidR="00B82B1C" w:rsidRDefault="00B82B1C" w:rsidP="006E7D10">
      <w:pPr>
        <w:suppressAutoHyphens/>
        <w:spacing w:after="160" w:line="259" w:lineRule="auto"/>
        <w:contextualSpacing/>
        <w:jc w:val="center"/>
        <w:rPr>
          <w:rFonts w:eastAsia="Calibri"/>
          <w:lang w:eastAsia="en-US"/>
        </w:rPr>
      </w:pPr>
    </w:p>
    <w:p w14:paraId="2E3C0798" w14:textId="2C996DE8" w:rsidR="00A65998" w:rsidRDefault="00A65998" w:rsidP="00FB12CA">
      <w:pPr>
        <w:jc w:val="center"/>
      </w:pPr>
      <w:r>
        <w:t xml:space="preserve">Bilješka </w:t>
      </w:r>
      <w:r w:rsidR="005B0448">
        <w:t>7</w:t>
      </w:r>
      <w:r>
        <w:t>.</w:t>
      </w:r>
    </w:p>
    <w:p w14:paraId="4FFC253D" w14:textId="42C2D0A1" w:rsidR="00A65998" w:rsidRDefault="006F5D0F" w:rsidP="00A65998">
      <w:pPr>
        <w:jc w:val="center"/>
      </w:pPr>
      <w:r>
        <w:t>31</w:t>
      </w:r>
      <w:r w:rsidR="00EC227D">
        <w:t xml:space="preserve"> Rashodi za zaposlene</w:t>
      </w:r>
    </w:p>
    <w:p w14:paraId="3EBD62F4" w14:textId="77777777" w:rsidR="00EC227D" w:rsidRDefault="00EC227D" w:rsidP="00A65998">
      <w:pPr>
        <w:jc w:val="center"/>
      </w:pPr>
    </w:p>
    <w:p w14:paraId="3200EFC0" w14:textId="77777777" w:rsidR="00BC4B8C" w:rsidRDefault="00A65998" w:rsidP="00A65998">
      <w:pPr>
        <w:jc w:val="both"/>
      </w:pPr>
      <w:r>
        <w:t xml:space="preserve">Rashodi za zaposlene su u promatranom razdoblju ostvareni u iznosu od </w:t>
      </w:r>
      <w:r w:rsidR="0055475E" w:rsidRPr="0055475E">
        <w:t>50.945.411,30</w:t>
      </w:r>
      <w:r w:rsidRPr="001143FF">
        <w:t xml:space="preserve"> kn</w:t>
      </w:r>
      <w:r>
        <w:t xml:space="preserve">, što predstavlja povećanje od </w:t>
      </w:r>
      <w:r w:rsidR="0055475E">
        <w:t>6,1</w:t>
      </w:r>
      <w:r>
        <w:t xml:space="preserve">% u odnosu na ostvarenje u promatranom razdoblju prethodne godine. Povećanje rashoda za zaposlene </w:t>
      </w:r>
      <w:r w:rsidRPr="005869B8">
        <w:t>posljedica je većeg broja zaposlenika</w:t>
      </w:r>
      <w:r w:rsidR="00F251F4" w:rsidRPr="005869B8">
        <w:t xml:space="preserve"> </w:t>
      </w:r>
      <w:r w:rsidR="003C485F" w:rsidRPr="005869B8">
        <w:t>i izmjene određenih ugovora o radu</w:t>
      </w:r>
      <w:r w:rsidRPr="005869B8">
        <w:t>. Pr</w:t>
      </w:r>
      <w:r>
        <w:t>osječan broj zaposlenih na osnovi stanja na početku i na kraju izvještajnog razdoblja u 202</w:t>
      </w:r>
      <w:r w:rsidR="0055475E">
        <w:t>2</w:t>
      </w:r>
      <w:r>
        <w:t>. iznosi 18</w:t>
      </w:r>
      <w:r w:rsidR="0055475E">
        <w:t>8</w:t>
      </w:r>
      <w:r>
        <w:t>, a u 20</w:t>
      </w:r>
      <w:r w:rsidR="0055475E">
        <w:t>21</w:t>
      </w:r>
      <w:r>
        <w:t>. je iznosio 1</w:t>
      </w:r>
      <w:r w:rsidR="0074681E">
        <w:t>8</w:t>
      </w:r>
      <w:r w:rsidR="0055475E">
        <w:t>7</w:t>
      </w:r>
      <w:r w:rsidR="00E524F8">
        <w:t xml:space="preserve"> (veza </w:t>
      </w:r>
      <w:r w:rsidR="0055475E">
        <w:t>šifra Z007</w:t>
      </w:r>
      <w:r>
        <w:t xml:space="preserve">). </w:t>
      </w:r>
      <w:r w:rsidR="00015A62">
        <w:t xml:space="preserve">Isto tako, </w:t>
      </w:r>
      <w:r w:rsidR="00C064B3">
        <w:t xml:space="preserve">povećani su ostali rashodi za zaposlene. Na </w:t>
      </w:r>
      <w:r w:rsidR="002E6C03">
        <w:t xml:space="preserve">njihovo </w:t>
      </w:r>
      <w:r w:rsidR="00C064B3">
        <w:t xml:space="preserve">povećanje najveći utjecaj </w:t>
      </w:r>
      <w:r w:rsidR="002E6C03">
        <w:t xml:space="preserve">su </w:t>
      </w:r>
      <w:r w:rsidR="00C064B3">
        <w:t xml:space="preserve">imale otpremnine, jubilarne nagrade, božićnica i bonus za uspješan rad. </w:t>
      </w:r>
      <w:r w:rsidR="002E6C03">
        <w:t xml:space="preserve"> </w:t>
      </w:r>
    </w:p>
    <w:p w14:paraId="4EB79366" w14:textId="68FA591C" w:rsidR="00FF35D0" w:rsidRDefault="002E3D9B" w:rsidP="00A65998">
      <w:pPr>
        <w:jc w:val="both"/>
      </w:pPr>
      <w:r>
        <w:lastRenderedPageBreak/>
        <w:t>HA</w:t>
      </w:r>
      <w:r w:rsidR="00CF23A5" w:rsidRPr="005E67B1">
        <w:t>KOM je u 202</w:t>
      </w:r>
      <w:r w:rsidR="002E32E7">
        <w:t>2</w:t>
      </w:r>
      <w:r w:rsidR="005D4273">
        <w:t>. zapošljavao jednog</w:t>
      </w:r>
      <w:r w:rsidR="00CF23A5">
        <w:t xml:space="preserve"> zaposlenika za kojeg</w:t>
      </w:r>
      <w:r w:rsidR="00CF23A5" w:rsidRPr="005E67B1">
        <w:t xml:space="preserve"> su korištene mjere aktivne politike zapošljavanja koje provode Ministarstvo rada i mirovinskoga sustava i Hrvatski zavod za zapošljavanje (mjere za stjecanje prvog radnog iskustva/pripravništva).</w:t>
      </w:r>
      <w:r w:rsidR="00A65998">
        <w:t xml:space="preserve"> </w:t>
      </w:r>
    </w:p>
    <w:p w14:paraId="6739887F" w14:textId="77777777" w:rsidR="00BC4B8C" w:rsidRDefault="00BC4B8C" w:rsidP="00A65998">
      <w:pPr>
        <w:jc w:val="both"/>
      </w:pPr>
    </w:p>
    <w:p w14:paraId="7921C15D" w14:textId="27406EC6" w:rsidR="00A65998" w:rsidRDefault="00A65998" w:rsidP="00A65998">
      <w:pPr>
        <w:jc w:val="center"/>
      </w:pPr>
      <w:r>
        <w:t xml:space="preserve">Bilješka </w:t>
      </w:r>
      <w:r w:rsidR="005B0448">
        <w:t>8</w:t>
      </w:r>
      <w:r>
        <w:t>.</w:t>
      </w:r>
    </w:p>
    <w:p w14:paraId="1F03FA68" w14:textId="3D6A59D5" w:rsidR="00A65998" w:rsidRDefault="00A407C3" w:rsidP="00A65998">
      <w:pPr>
        <w:jc w:val="center"/>
      </w:pPr>
      <w:r>
        <w:t>32</w:t>
      </w:r>
      <w:r w:rsidR="00A65998">
        <w:t xml:space="preserve"> Materijalni rashodi</w:t>
      </w:r>
    </w:p>
    <w:p w14:paraId="68924B82" w14:textId="77777777" w:rsidR="00EC227D" w:rsidRDefault="00EC227D" w:rsidP="00A65998">
      <w:pPr>
        <w:jc w:val="center"/>
      </w:pPr>
    </w:p>
    <w:p w14:paraId="6EC76106" w14:textId="603719F1" w:rsidR="003B4E27" w:rsidRDefault="00A65998" w:rsidP="00EC227D">
      <w:pPr>
        <w:jc w:val="both"/>
        <w:rPr>
          <w:rFonts w:eastAsia="Calibri"/>
          <w:lang w:eastAsia="en-US"/>
        </w:rPr>
      </w:pPr>
      <w:r>
        <w:t xml:space="preserve">Materijalni rashodi su </w:t>
      </w:r>
      <w:r w:rsidR="00F424ED">
        <w:t>tijekom 202</w:t>
      </w:r>
      <w:r w:rsidR="00CC28DD">
        <w:t>2</w:t>
      </w:r>
      <w:r w:rsidR="00F424ED">
        <w:t xml:space="preserve">. </w:t>
      </w:r>
      <w:r>
        <w:t xml:space="preserve">ostvareni u iznosu od </w:t>
      </w:r>
      <w:r w:rsidR="00CC28DD" w:rsidRPr="00CC28DD">
        <w:rPr>
          <w:rFonts w:eastAsia="Calibri"/>
          <w:lang w:eastAsia="en-US"/>
        </w:rPr>
        <w:t>32.904.118,54</w:t>
      </w:r>
      <w:r w:rsidRPr="000E7D95">
        <w:rPr>
          <w:rFonts w:eastAsia="Calibri"/>
          <w:lang w:eastAsia="en-US"/>
        </w:rPr>
        <w:t xml:space="preserve"> kn</w:t>
      </w:r>
      <w:r>
        <w:rPr>
          <w:rFonts w:eastAsia="Calibri"/>
          <w:lang w:eastAsia="en-US"/>
        </w:rPr>
        <w:t xml:space="preserve">, što predstavlja </w:t>
      </w:r>
      <w:r w:rsidR="000A15DF">
        <w:rPr>
          <w:rFonts w:eastAsia="Calibri"/>
          <w:lang w:eastAsia="en-US"/>
        </w:rPr>
        <w:t>povećanje</w:t>
      </w:r>
      <w:r>
        <w:rPr>
          <w:rFonts w:eastAsia="Calibri"/>
          <w:lang w:eastAsia="en-US"/>
        </w:rPr>
        <w:t xml:space="preserve"> u odnosu na promatrano razdoblje prethodne godine</w:t>
      </w:r>
      <w:r w:rsidR="00117537">
        <w:rPr>
          <w:rFonts w:eastAsia="Calibri"/>
          <w:lang w:eastAsia="en-US"/>
        </w:rPr>
        <w:t xml:space="preserve"> </w:t>
      </w:r>
      <w:r w:rsidR="00F424ED">
        <w:rPr>
          <w:rFonts w:eastAsia="Calibri"/>
          <w:lang w:eastAsia="en-US"/>
        </w:rPr>
        <w:t xml:space="preserve">kada su iznosili </w:t>
      </w:r>
      <w:r w:rsidR="000A15DF" w:rsidRPr="000A15DF">
        <w:rPr>
          <w:rFonts w:eastAsia="Calibri"/>
          <w:lang w:eastAsia="en-US"/>
        </w:rPr>
        <w:t>29.918.768,00</w:t>
      </w:r>
      <w:r w:rsidR="00F424ED">
        <w:rPr>
          <w:rFonts w:eastAsia="Calibri"/>
          <w:lang w:eastAsia="en-US"/>
        </w:rPr>
        <w:t xml:space="preserve"> kn</w:t>
      </w:r>
      <w:r>
        <w:rPr>
          <w:rFonts w:eastAsia="Calibri"/>
          <w:lang w:eastAsia="en-US"/>
        </w:rPr>
        <w:t xml:space="preserve">. </w:t>
      </w:r>
      <w:r w:rsidR="009F7BC7">
        <w:rPr>
          <w:rFonts w:eastAsia="Calibri"/>
          <w:lang w:eastAsia="en-US"/>
        </w:rPr>
        <w:t xml:space="preserve">Troškovi službenih putovanja su značajno porasli što je posljedica </w:t>
      </w:r>
      <w:r w:rsidR="004A5A72">
        <w:rPr>
          <w:rFonts w:eastAsia="Calibri"/>
          <w:lang w:eastAsia="en-US"/>
        </w:rPr>
        <w:t>većeg broja inozemnih služb</w:t>
      </w:r>
      <w:r w:rsidR="00961B65">
        <w:rPr>
          <w:rFonts w:eastAsia="Calibri"/>
          <w:lang w:eastAsia="en-US"/>
        </w:rPr>
        <w:t>e</w:t>
      </w:r>
      <w:r w:rsidR="004A5A72">
        <w:rPr>
          <w:rFonts w:eastAsia="Calibri"/>
          <w:lang w:eastAsia="en-US"/>
        </w:rPr>
        <w:t>nih putovanja nako</w:t>
      </w:r>
      <w:r w:rsidR="004E19FE">
        <w:rPr>
          <w:rFonts w:eastAsia="Calibri"/>
          <w:lang w:eastAsia="en-US"/>
        </w:rPr>
        <w:t xml:space="preserve">n što su ista bila ograničena tijekom </w:t>
      </w:r>
      <w:r w:rsidR="00CF23A5">
        <w:rPr>
          <w:rFonts w:eastAsia="Calibri"/>
          <w:lang w:eastAsia="en-US"/>
        </w:rPr>
        <w:t xml:space="preserve">prethodne </w:t>
      </w:r>
      <w:r w:rsidR="00312537">
        <w:rPr>
          <w:rFonts w:eastAsia="Calibri"/>
          <w:lang w:eastAsia="en-US"/>
        </w:rPr>
        <w:t>dvije godine</w:t>
      </w:r>
      <w:r w:rsidR="00CC28DD">
        <w:rPr>
          <w:rFonts w:eastAsia="Calibri"/>
          <w:lang w:eastAsia="en-US"/>
        </w:rPr>
        <w:t xml:space="preserve"> </w:t>
      </w:r>
      <w:r w:rsidR="00312537" w:rsidRPr="00EC227D">
        <w:rPr>
          <w:rFonts w:eastAsia="Calibri"/>
          <w:lang w:eastAsia="en-US"/>
        </w:rPr>
        <w:t>zbog krize uzrokovane virusom COVID-19</w:t>
      </w:r>
      <w:r w:rsidR="003B4E27">
        <w:rPr>
          <w:rFonts w:eastAsia="Calibri"/>
          <w:lang w:eastAsia="en-US"/>
        </w:rPr>
        <w:t xml:space="preserve">. </w:t>
      </w:r>
      <w:r w:rsidR="00124259">
        <w:rPr>
          <w:rFonts w:eastAsia="Calibri"/>
          <w:lang w:eastAsia="en-US"/>
        </w:rPr>
        <w:t>Na povećanje</w:t>
      </w:r>
      <w:r w:rsidR="00F97B4E">
        <w:rPr>
          <w:rFonts w:eastAsia="Calibri"/>
          <w:lang w:eastAsia="en-US"/>
        </w:rPr>
        <w:t xml:space="preserve"> materijalni</w:t>
      </w:r>
      <w:r w:rsidR="00AC5AF2">
        <w:rPr>
          <w:rFonts w:eastAsia="Calibri"/>
          <w:lang w:eastAsia="en-US"/>
        </w:rPr>
        <w:t>h rashoda je utjecalo i</w:t>
      </w:r>
      <w:r w:rsidR="0023641D" w:rsidRPr="0023641D">
        <w:rPr>
          <w:rFonts w:eastAsia="Calibri"/>
          <w:lang w:eastAsia="en-US"/>
        </w:rPr>
        <w:t xml:space="preserve"> </w:t>
      </w:r>
      <w:r w:rsidR="00124259">
        <w:rPr>
          <w:rFonts w:eastAsia="Calibri"/>
          <w:lang w:eastAsia="en-US"/>
        </w:rPr>
        <w:t>povećanje</w:t>
      </w:r>
      <w:r w:rsidR="003B4E27">
        <w:rPr>
          <w:rFonts w:eastAsia="Calibri"/>
          <w:lang w:eastAsia="en-US"/>
        </w:rPr>
        <w:t>:</w:t>
      </w:r>
    </w:p>
    <w:p w14:paraId="094B152C" w14:textId="77777777" w:rsidR="003B4E27" w:rsidRDefault="00124259" w:rsidP="003B4E27">
      <w:pPr>
        <w:pStyle w:val="ListParagraph"/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3B4E27">
        <w:rPr>
          <w:rFonts w:eastAsia="Calibri"/>
          <w:lang w:eastAsia="en-US"/>
        </w:rPr>
        <w:t>troškova uredskog materijala i</w:t>
      </w:r>
      <w:r w:rsidR="00A57D14" w:rsidRPr="003B4E27">
        <w:rPr>
          <w:rFonts w:eastAsia="Calibri"/>
          <w:lang w:eastAsia="en-US"/>
        </w:rPr>
        <w:t xml:space="preserve"> ostali</w:t>
      </w:r>
      <w:r w:rsidRPr="003B4E27">
        <w:rPr>
          <w:rFonts w:eastAsia="Calibri"/>
          <w:lang w:eastAsia="en-US"/>
        </w:rPr>
        <w:t>h</w:t>
      </w:r>
      <w:r w:rsidR="00A57D14" w:rsidRPr="003B4E27">
        <w:rPr>
          <w:rFonts w:eastAsia="Calibri"/>
          <w:lang w:eastAsia="en-US"/>
        </w:rPr>
        <w:t xml:space="preserve"> materijalni</w:t>
      </w:r>
      <w:r w:rsidRPr="003B4E27">
        <w:rPr>
          <w:rFonts w:eastAsia="Calibri"/>
          <w:lang w:eastAsia="en-US"/>
        </w:rPr>
        <w:t>h rashoda</w:t>
      </w:r>
      <w:r w:rsidR="006F368B" w:rsidRPr="003B4E27">
        <w:rPr>
          <w:rFonts w:eastAsia="Calibri"/>
          <w:lang w:eastAsia="en-US"/>
        </w:rPr>
        <w:t xml:space="preserve"> (stručna literatura, materijal i sredstva za čišćenje, razna računalna sitna oprema</w:t>
      </w:r>
      <w:r w:rsidR="009C6031" w:rsidRPr="003B4E27">
        <w:rPr>
          <w:rFonts w:eastAsia="Calibri"/>
          <w:lang w:eastAsia="en-US"/>
        </w:rPr>
        <w:t>, potrošni materijal za novi KMP Osorščica</w:t>
      </w:r>
      <w:r w:rsidR="006F368B" w:rsidRPr="003B4E27">
        <w:rPr>
          <w:rFonts w:eastAsia="Calibri"/>
          <w:lang w:eastAsia="en-US"/>
        </w:rPr>
        <w:t>)</w:t>
      </w:r>
      <w:r w:rsidR="00CC53DD" w:rsidRPr="003B4E27">
        <w:rPr>
          <w:rFonts w:eastAsia="Calibri"/>
          <w:lang w:eastAsia="en-US"/>
        </w:rPr>
        <w:t>,</w:t>
      </w:r>
      <w:r w:rsidR="00EC227D" w:rsidRPr="003B4E27">
        <w:rPr>
          <w:rFonts w:eastAsia="Calibri"/>
          <w:lang w:eastAsia="en-US"/>
        </w:rPr>
        <w:t xml:space="preserve"> </w:t>
      </w:r>
    </w:p>
    <w:p w14:paraId="35358B57" w14:textId="77777777" w:rsidR="003B4E27" w:rsidRDefault="005A0596" w:rsidP="003B4E27">
      <w:pPr>
        <w:pStyle w:val="ListParagraph"/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3B4E27">
        <w:rPr>
          <w:rFonts w:eastAsia="Calibri"/>
          <w:lang w:eastAsia="en-US"/>
        </w:rPr>
        <w:t xml:space="preserve">troškova </w:t>
      </w:r>
      <w:r w:rsidR="00164EDC" w:rsidRPr="003B4E27">
        <w:rPr>
          <w:rFonts w:eastAsia="Calibri"/>
          <w:lang w:eastAsia="en-US"/>
        </w:rPr>
        <w:t xml:space="preserve">energije </w:t>
      </w:r>
      <w:r w:rsidR="006F368B" w:rsidRPr="003B4E27">
        <w:rPr>
          <w:rFonts w:eastAsia="Calibri"/>
          <w:lang w:eastAsia="en-US"/>
        </w:rPr>
        <w:t>(zbog značajnog poskupljenja opskrbe električnom energijom)</w:t>
      </w:r>
      <w:r w:rsidR="00164EDC" w:rsidRPr="003B4E27">
        <w:rPr>
          <w:rFonts w:eastAsia="Calibri"/>
          <w:lang w:eastAsia="en-US"/>
        </w:rPr>
        <w:t xml:space="preserve">, </w:t>
      </w:r>
    </w:p>
    <w:p w14:paraId="4D28B4DF" w14:textId="77777777" w:rsidR="003B4E27" w:rsidRDefault="005A0596" w:rsidP="003B4E27">
      <w:pPr>
        <w:pStyle w:val="ListParagraph"/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3B4E27">
        <w:rPr>
          <w:rFonts w:eastAsia="Calibri"/>
          <w:lang w:eastAsia="en-US"/>
        </w:rPr>
        <w:t>rashoda</w:t>
      </w:r>
      <w:r w:rsidR="00606588" w:rsidRPr="003B4E27">
        <w:rPr>
          <w:rFonts w:eastAsia="Calibri"/>
          <w:lang w:eastAsia="en-US"/>
        </w:rPr>
        <w:t xml:space="preserve"> za usluge tekućeg i investicijskog održavanja</w:t>
      </w:r>
      <w:r w:rsidR="00D941FD" w:rsidRPr="003B4E27">
        <w:rPr>
          <w:rFonts w:eastAsia="Calibri"/>
          <w:lang w:eastAsia="en-US"/>
        </w:rPr>
        <w:t xml:space="preserve"> (radovi na sanaciji pristupnog puta </w:t>
      </w:r>
      <w:r w:rsidR="00086670" w:rsidRPr="003B4E27">
        <w:rPr>
          <w:rFonts w:eastAsia="Calibri"/>
          <w:lang w:eastAsia="en-US"/>
        </w:rPr>
        <w:t>za KMP Veliki Bokolj i KMP Osorščica, tekuće i investicijsko održavanje ostalih kontrolno-mjernih stanica i postaja, opreme, službenih vozila)</w:t>
      </w:r>
      <w:r w:rsidR="00CC53DD" w:rsidRPr="003B4E27">
        <w:rPr>
          <w:rFonts w:eastAsia="Calibri"/>
          <w:lang w:eastAsia="en-US"/>
        </w:rPr>
        <w:t>,</w:t>
      </w:r>
      <w:r w:rsidR="00EC227D" w:rsidRPr="003B4E27">
        <w:rPr>
          <w:rFonts w:eastAsia="Calibri"/>
          <w:lang w:eastAsia="en-US"/>
        </w:rPr>
        <w:t xml:space="preserve"> </w:t>
      </w:r>
    </w:p>
    <w:p w14:paraId="495D48CE" w14:textId="131461EE" w:rsidR="003B4E27" w:rsidRDefault="00727C79" w:rsidP="003B4E27">
      <w:pPr>
        <w:pStyle w:val="ListParagraph"/>
        <w:numPr>
          <w:ilvl w:val="0"/>
          <w:numId w:val="1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rashoda za </w:t>
      </w:r>
      <w:r w:rsidR="00C6076F" w:rsidRPr="003B4E27">
        <w:rPr>
          <w:rFonts w:eastAsia="Calibri"/>
          <w:lang w:eastAsia="en-US"/>
        </w:rPr>
        <w:t>usluge promidžbe i informiranja</w:t>
      </w:r>
      <w:r w:rsidR="002D7F80" w:rsidRPr="003B4E27">
        <w:rPr>
          <w:rFonts w:eastAsia="Calibri"/>
          <w:lang w:eastAsia="en-US"/>
        </w:rPr>
        <w:t xml:space="preserve"> (promidžbeni materijali, produkcija videa u povodu Dana sigurnijeg interneta</w:t>
      </w:r>
      <w:r w:rsidR="00CC53DD" w:rsidRPr="003B4E27">
        <w:rPr>
          <w:rFonts w:eastAsia="Calibri"/>
          <w:lang w:eastAsia="en-US"/>
        </w:rPr>
        <w:t>,</w:t>
      </w:r>
      <w:r w:rsidR="00EC227D" w:rsidRPr="003B4E27">
        <w:rPr>
          <w:rFonts w:eastAsia="Calibri"/>
          <w:lang w:eastAsia="en-US"/>
        </w:rPr>
        <w:t xml:space="preserve"> </w:t>
      </w:r>
      <w:r w:rsidR="00A2695C" w:rsidRPr="003B4E27">
        <w:rPr>
          <w:rFonts w:eastAsia="Calibri"/>
          <w:lang w:eastAsia="en-US"/>
        </w:rPr>
        <w:t>razne brošure za zaštitu korisnika</w:t>
      </w:r>
      <w:r w:rsidR="00684BD6" w:rsidRPr="003B4E27">
        <w:rPr>
          <w:rFonts w:eastAsia="Calibri"/>
          <w:lang w:eastAsia="en-US"/>
        </w:rPr>
        <w:t xml:space="preserve">, </w:t>
      </w:r>
      <w:r w:rsidR="007736D6" w:rsidRPr="003B4E27">
        <w:rPr>
          <w:rFonts w:eastAsia="Calibri"/>
          <w:lang w:eastAsia="en-US"/>
        </w:rPr>
        <w:t xml:space="preserve">Kalkulator privatnosti na sjedištu-privatnost.hakom.hr, </w:t>
      </w:r>
      <w:r w:rsidR="00684BD6" w:rsidRPr="003B4E27">
        <w:rPr>
          <w:rFonts w:eastAsia="Calibri"/>
          <w:lang w:eastAsia="en-US"/>
        </w:rPr>
        <w:t xml:space="preserve">izrada animiranog videa s temama smetnje i EU </w:t>
      </w:r>
      <w:proofErr w:type="spellStart"/>
      <w:r w:rsidR="00684BD6" w:rsidRPr="003B4E27">
        <w:rPr>
          <w:rFonts w:eastAsia="Calibri"/>
          <w:lang w:eastAsia="en-US"/>
        </w:rPr>
        <w:t>roaming</w:t>
      </w:r>
      <w:proofErr w:type="spellEnd"/>
      <w:r w:rsidR="00A2695C" w:rsidRPr="003B4E27">
        <w:rPr>
          <w:rFonts w:eastAsia="Calibri"/>
          <w:lang w:eastAsia="en-US"/>
        </w:rPr>
        <w:t xml:space="preserve">), </w:t>
      </w:r>
    </w:p>
    <w:p w14:paraId="25E3D3DC" w14:textId="0FFDA13C" w:rsidR="003B4E27" w:rsidRDefault="00727C79" w:rsidP="003B4E27">
      <w:pPr>
        <w:pStyle w:val="ListParagraph"/>
        <w:numPr>
          <w:ilvl w:val="0"/>
          <w:numId w:val="1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rashoda za </w:t>
      </w:r>
      <w:r w:rsidR="00DB7448" w:rsidRPr="003B4E27">
        <w:rPr>
          <w:rFonts w:eastAsia="Calibri"/>
          <w:lang w:eastAsia="en-US"/>
        </w:rPr>
        <w:t>računalne usluge</w:t>
      </w:r>
      <w:r w:rsidR="003B4E27" w:rsidRPr="003B4E27">
        <w:rPr>
          <w:rFonts w:eastAsia="Calibri"/>
          <w:lang w:eastAsia="en-US"/>
        </w:rPr>
        <w:t xml:space="preserve"> (održavanje računalnih programa – CABP, GIS, </w:t>
      </w:r>
      <w:proofErr w:type="spellStart"/>
      <w:r w:rsidR="003B4E27" w:rsidRPr="003B4E27">
        <w:rPr>
          <w:rFonts w:eastAsia="Calibri"/>
          <w:lang w:eastAsia="en-US"/>
        </w:rPr>
        <w:t>CHIRplus</w:t>
      </w:r>
      <w:proofErr w:type="spellEnd"/>
      <w:r w:rsidR="003B4E27" w:rsidRPr="003B4E27">
        <w:rPr>
          <w:rFonts w:eastAsia="Calibri"/>
          <w:lang w:eastAsia="en-US"/>
        </w:rPr>
        <w:t xml:space="preserve">, </w:t>
      </w:r>
      <w:proofErr w:type="spellStart"/>
      <w:r w:rsidR="003B4E27" w:rsidRPr="003B4E27">
        <w:rPr>
          <w:rFonts w:eastAsia="Calibri"/>
          <w:lang w:eastAsia="en-US"/>
        </w:rPr>
        <w:t>HRNet</w:t>
      </w:r>
      <w:proofErr w:type="spellEnd"/>
      <w:r w:rsidR="003B4E27" w:rsidRPr="003B4E27">
        <w:rPr>
          <w:rFonts w:eastAsia="Calibri"/>
          <w:lang w:eastAsia="en-US"/>
        </w:rPr>
        <w:t xml:space="preserve">, Navision, web aplikacija, e-Dozvole, e-Operator, aplikacija „Ne zovi“, </w:t>
      </w:r>
      <w:proofErr w:type="spellStart"/>
      <w:r w:rsidR="003B4E27" w:rsidRPr="003B4E27">
        <w:rPr>
          <w:rFonts w:eastAsia="Calibri"/>
          <w:lang w:eastAsia="en-US"/>
        </w:rPr>
        <w:t>Centrix</w:t>
      </w:r>
      <w:proofErr w:type="spellEnd"/>
      <w:r w:rsidR="003B4E27" w:rsidRPr="003B4E27">
        <w:rPr>
          <w:rFonts w:eastAsia="Calibri"/>
          <w:lang w:eastAsia="en-US"/>
        </w:rPr>
        <w:t xml:space="preserve"> i dr.)</w:t>
      </w:r>
      <w:r w:rsidR="00DB7448" w:rsidRPr="003B4E27">
        <w:rPr>
          <w:rFonts w:eastAsia="Calibri"/>
          <w:lang w:eastAsia="en-US"/>
        </w:rPr>
        <w:t>,</w:t>
      </w:r>
    </w:p>
    <w:p w14:paraId="7BB339E9" w14:textId="76219D5F" w:rsidR="00EC227D" w:rsidRDefault="00727C79" w:rsidP="005A7BDA">
      <w:pPr>
        <w:pStyle w:val="ListParagraph"/>
        <w:numPr>
          <w:ilvl w:val="0"/>
          <w:numId w:val="1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troškova reprezentacije</w:t>
      </w:r>
      <w:r w:rsidR="00CC53DD" w:rsidRPr="003B4E27">
        <w:rPr>
          <w:rFonts w:eastAsia="Calibri"/>
          <w:lang w:eastAsia="en-US"/>
        </w:rPr>
        <w:t xml:space="preserve"> </w:t>
      </w:r>
      <w:r w:rsidR="003C5804">
        <w:rPr>
          <w:rFonts w:eastAsia="Calibri"/>
          <w:lang w:eastAsia="en-US"/>
        </w:rPr>
        <w:t>(</w:t>
      </w:r>
      <w:r w:rsidR="003C5804" w:rsidRPr="003C5804">
        <w:rPr>
          <w:rFonts w:eastAsia="Calibri"/>
          <w:lang w:eastAsia="en-US"/>
        </w:rPr>
        <w:t>Međunarodna konferencija</w:t>
      </w:r>
      <w:r w:rsidR="003C5804">
        <w:rPr>
          <w:rFonts w:eastAsia="Calibri"/>
          <w:lang w:eastAsia="en-US"/>
        </w:rPr>
        <w:t xml:space="preserve"> </w:t>
      </w:r>
      <w:r w:rsidR="003C5804" w:rsidRPr="003C5804">
        <w:rPr>
          <w:rFonts w:eastAsia="Calibri"/>
          <w:lang w:eastAsia="en-US"/>
        </w:rPr>
        <w:t>"</w:t>
      </w:r>
      <w:proofErr w:type="spellStart"/>
      <w:r w:rsidR="003C5804" w:rsidRPr="003C5804">
        <w:rPr>
          <w:rFonts w:eastAsia="Calibri"/>
          <w:lang w:eastAsia="en-US"/>
        </w:rPr>
        <w:t>Accessible</w:t>
      </w:r>
      <w:proofErr w:type="spellEnd"/>
      <w:r w:rsidR="003C5804" w:rsidRPr="003C5804">
        <w:rPr>
          <w:rFonts w:eastAsia="Calibri"/>
          <w:lang w:eastAsia="en-US"/>
        </w:rPr>
        <w:t xml:space="preserve"> Future"</w:t>
      </w:r>
      <w:r w:rsidR="003C5804">
        <w:rPr>
          <w:rFonts w:eastAsia="Calibri"/>
          <w:lang w:eastAsia="en-US"/>
        </w:rPr>
        <w:t>, s</w:t>
      </w:r>
      <w:r w:rsidR="003C5804" w:rsidRPr="003C5804">
        <w:rPr>
          <w:rFonts w:eastAsia="Calibri"/>
          <w:lang w:eastAsia="en-US"/>
        </w:rPr>
        <w:t xml:space="preserve">astanak članica IRG </w:t>
      </w:r>
      <w:proofErr w:type="spellStart"/>
      <w:r w:rsidR="003C5804" w:rsidRPr="003C5804">
        <w:rPr>
          <w:rFonts w:eastAsia="Calibri"/>
          <w:lang w:eastAsia="en-US"/>
        </w:rPr>
        <w:t>Rail</w:t>
      </w:r>
      <w:proofErr w:type="spellEnd"/>
      <w:r w:rsidR="003C5804" w:rsidRPr="003C5804">
        <w:rPr>
          <w:rFonts w:eastAsia="Calibri"/>
          <w:lang w:eastAsia="en-US"/>
        </w:rPr>
        <w:t>-a</w:t>
      </w:r>
      <w:r w:rsidR="004C59B1">
        <w:rPr>
          <w:rFonts w:eastAsia="Calibri"/>
          <w:lang w:eastAsia="en-US"/>
        </w:rPr>
        <w:t xml:space="preserve">, </w:t>
      </w:r>
      <w:r w:rsidR="004C59B1" w:rsidRPr="004C59B1">
        <w:rPr>
          <w:rFonts w:eastAsia="Calibri"/>
          <w:lang w:eastAsia="en-US"/>
        </w:rPr>
        <w:t>Dan tržišta elektroničkih komunikacija</w:t>
      </w:r>
      <w:r w:rsidR="005A7BDA">
        <w:rPr>
          <w:rFonts w:eastAsia="Calibri"/>
          <w:lang w:eastAsia="en-US"/>
        </w:rPr>
        <w:t xml:space="preserve">, </w:t>
      </w:r>
      <w:r w:rsidR="005A7BDA" w:rsidRPr="005A7BDA">
        <w:rPr>
          <w:rFonts w:eastAsia="Calibri"/>
          <w:lang w:eastAsia="en-US"/>
        </w:rPr>
        <w:t>Okrugli stol dionika tržišta željezničkih usluga</w:t>
      </w:r>
      <w:r w:rsidR="003C5804">
        <w:rPr>
          <w:rFonts w:eastAsia="Calibri"/>
          <w:lang w:eastAsia="en-US"/>
        </w:rPr>
        <w:t xml:space="preserve"> </w:t>
      </w:r>
      <w:r w:rsidR="00CC53DD" w:rsidRPr="003B4E27">
        <w:rPr>
          <w:rFonts w:eastAsia="Calibri"/>
          <w:lang w:eastAsia="en-US"/>
        </w:rPr>
        <w:t>i dr.</w:t>
      </w:r>
      <w:r w:rsidR="003C5804">
        <w:rPr>
          <w:rFonts w:eastAsia="Calibri"/>
          <w:lang w:eastAsia="en-US"/>
        </w:rPr>
        <w:t>)</w:t>
      </w:r>
      <w:r w:rsidR="005A7BDA">
        <w:rPr>
          <w:rFonts w:eastAsia="Calibri"/>
          <w:lang w:eastAsia="en-US"/>
        </w:rPr>
        <w:t>.</w:t>
      </w:r>
    </w:p>
    <w:p w14:paraId="48627742" w14:textId="77777777" w:rsidR="002E3D9B" w:rsidRPr="001B5164" w:rsidRDefault="002E3D9B" w:rsidP="002E3D9B">
      <w:pPr>
        <w:pStyle w:val="ListParagraph"/>
        <w:jc w:val="both"/>
        <w:rPr>
          <w:rFonts w:eastAsia="Calibri"/>
          <w:lang w:eastAsia="en-US"/>
        </w:rPr>
      </w:pPr>
    </w:p>
    <w:p w14:paraId="0BA7DFDA" w14:textId="059ADED9" w:rsidR="006E7D10" w:rsidRDefault="007733CD" w:rsidP="00A34512">
      <w:pPr>
        <w:suppressAutoHyphens/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Od materijalnih rashoda tijekom 202</w:t>
      </w:r>
      <w:r w:rsidR="00DB7448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. </w:t>
      </w:r>
      <w:r w:rsidR="00DB7448">
        <w:rPr>
          <w:rFonts w:eastAsia="Calibri"/>
          <w:lang w:eastAsia="en-US"/>
        </w:rPr>
        <w:t>smanjene</w:t>
      </w:r>
      <w:r>
        <w:rPr>
          <w:rFonts w:eastAsia="Calibri"/>
          <w:lang w:eastAsia="en-US"/>
        </w:rPr>
        <w:t xml:space="preserve"> su</w:t>
      </w:r>
      <w:r w:rsidR="00295884">
        <w:rPr>
          <w:rFonts w:eastAsia="Calibri"/>
          <w:lang w:eastAsia="en-US"/>
        </w:rPr>
        <w:t xml:space="preserve"> zakupnine i najamnine</w:t>
      </w:r>
      <w:r w:rsidR="00EF41D0">
        <w:rPr>
          <w:rFonts w:eastAsia="Calibri"/>
          <w:lang w:eastAsia="en-US"/>
        </w:rPr>
        <w:t xml:space="preserve"> (u 2022. sklopljen je novi ugovor o zakupu poslovnog prostora u Zagrebu po povoljnijim cijenama od prijašnjeg ugovora)</w:t>
      </w:r>
      <w:r w:rsidR="00295884">
        <w:rPr>
          <w:rFonts w:eastAsia="Calibri"/>
          <w:lang w:eastAsia="en-US"/>
        </w:rPr>
        <w:t xml:space="preserve">, </w:t>
      </w:r>
      <w:r w:rsidR="00A65998" w:rsidRPr="00EE0A32">
        <w:rPr>
          <w:rFonts w:eastAsia="Calibri"/>
          <w:lang w:eastAsia="en-US"/>
        </w:rPr>
        <w:t>zdravstvene usluge</w:t>
      </w:r>
      <w:r w:rsidR="00A65998">
        <w:rPr>
          <w:rFonts w:eastAsia="Calibri"/>
          <w:lang w:eastAsia="en-US"/>
        </w:rPr>
        <w:t xml:space="preserve"> (sistematski pregledi zaposlenika)</w:t>
      </w:r>
      <w:r w:rsidR="00A65998" w:rsidRPr="00EE0A32">
        <w:rPr>
          <w:rFonts w:eastAsia="Calibri"/>
          <w:lang w:eastAsia="en-US"/>
        </w:rPr>
        <w:t xml:space="preserve">, </w:t>
      </w:r>
      <w:r w:rsidR="00963890">
        <w:rPr>
          <w:rFonts w:eastAsia="Calibri"/>
          <w:lang w:eastAsia="en-US"/>
        </w:rPr>
        <w:t>intelektualne i osobne usluge, ostale usluge</w:t>
      </w:r>
      <w:r w:rsidR="000C174B">
        <w:rPr>
          <w:rFonts w:eastAsia="Calibri"/>
          <w:lang w:eastAsia="en-US"/>
        </w:rPr>
        <w:t>, premije osiguranja</w:t>
      </w:r>
      <w:r w:rsidR="00963890">
        <w:rPr>
          <w:rFonts w:eastAsia="Calibri"/>
          <w:lang w:eastAsia="en-US"/>
        </w:rPr>
        <w:t xml:space="preserve"> i </w:t>
      </w:r>
      <w:r w:rsidR="00295884">
        <w:rPr>
          <w:rFonts w:eastAsia="Calibri"/>
          <w:lang w:eastAsia="en-US"/>
        </w:rPr>
        <w:t>dr.</w:t>
      </w:r>
    </w:p>
    <w:p w14:paraId="2163E1C2" w14:textId="77777777" w:rsidR="00A34512" w:rsidRDefault="00A34512" w:rsidP="00A34512">
      <w:pPr>
        <w:suppressAutoHyphens/>
        <w:spacing w:line="259" w:lineRule="auto"/>
        <w:jc w:val="both"/>
        <w:rPr>
          <w:rFonts w:eastAsia="Calibri"/>
          <w:lang w:eastAsia="en-US"/>
        </w:rPr>
      </w:pPr>
    </w:p>
    <w:p w14:paraId="5A6203DA" w14:textId="3DD3A9FD" w:rsidR="00A65998" w:rsidRDefault="00833082" w:rsidP="00295884">
      <w:pPr>
        <w:suppressAutoHyphens/>
        <w:spacing w:line="259" w:lineRule="auto"/>
        <w:jc w:val="center"/>
      </w:pPr>
      <w:r>
        <w:t xml:space="preserve">Bilješka </w:t>
      </w:r>
      <w:r w:rsidR="005B0448">
        <w:t>9</w:t>
      </w:r>
      <w:r w:rsidR="00A65998">
        <w:t>.</w:t>
      </w:r>
    </w:p>
    <w:p w14:paraId="7D3A96C9" w14:textId="655F886C" w:rsidR="00A65998" w:rsidRDefault="00C31F68" w:rsidP="00A65998">
      <w:pPr>
        <w:jc w:val="center"/>
      </w:pPr>
      <w:r>
        <w:t>34</w:t>
      </w:r>
      <w:r w:rsidR="00A65998">
        <w:t xml:space="preserve"> Financijski rashodi</w:t>
      </w:r>
    </w:p>
    <w:p w14:paraId="19E1ECAF" w14:textId="77777777" w:rsidR="00F22950" w:rsidRDefault="00F22950" w:rsidP="00A65998">
      <w:pPr>
        <w:jc w:val="center"/>
      </w:pPr>
    </w:p>
    <w:p w14:paraId="1A540A51" w14:textId="10E1E09E" w:rsidR="00A65998" w:rsidRDefault="00A65998" w:rsidP="006E7D10">
      <w:pPr>
        <w:suppressAutoHyphens/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Financijski rashodi su </w:t>
      </w:r>
      <w:r w:rsidRPr="00EE0A32">
        <w:rPr>
          <w:rFonts w:eastAsia="Calibri"/>
          <w:lang w:eastAsia="en-US"/>
        </w:rPr>
        <w:t xml:space="preserve">u promatranom razdoblju ostvareni u iznosu od </w:t>
      </w:r>
      <w:r w:rsidR="002E609F" w:rsidRPr="002E609F">
        <w:rPr>
          <w:rFonts w:eastAsia="Calibri"/>
          <w:lang w:eastAsia="en-US"/>
        </w:rPr>
        <w:t>54.182,19</w:t>
      </w:r>
      <w:r w:rsidRPr="00EE0A32">
        <w:rPr>
          <w:rFonts w:eastAsia="Calibri"/>
          <w:lang w:eastAsia="en-US"/>
        </w:rPr>
        <w:t xml:space="preserve"> kn, što predstavlja </w:t>
      </w:r>
      <w:r w:rsidR="002E609F">
        <w:rPr>
          <w:rFonts w:eastAsia="Calibri"/>
          <w:lang w:eastAsia="en-US"/>
        </w:rPr>
        <w:t>povećanje</w:t>
      </w:r>
      <w:r w:rsidRPr="00EE0A32">
        <w:rPr>
          <w:rFonts w:eastAsia="Calibri"/>
          <w:lang w:eastAsia="en-US"/>
        </w:rPr>
        <w:t xml:space="preserve"> u odnosu na ostvarenje u promatranom razdoblju prethodne godine.</w:t>
      </w:r>
      <w:r>
        <w:rPr>
          <w:rFonts w:eastAsia="Calibri"/>
          <w:lang w:eastAsia="en-US"/>
        </w:rPr>
        <w:t xml:space="preserve"> </w:t>
      </w:r>
      <w:r w:rsidR="00220D6D">
        <w:rPr>
          <w:rFonts w:eastAsia="Calibri"/>
          <w:lang w:eastAsia="en-US"/>
        </w:rPr>
        <w:t>N</w:t>
      </w:r>
      <w:r w:rsidR="00AB5434" w:rsidRPr="00AB5434">
        <w:rPr>
          <w:rFonts w:eastAsia="Calibri"/>
          <w:lang w:eastAsia="en-US"/>
        </w:rPr>
        <w:t xml:space="preserve">a povećanje navedenih rashoda </w:t>
      </w:r>
      <w:r w:rsidR="00220D6D">
        <w:rPr>
          <w:rFonts w:eastAsia="Calibri"/>
          <w:lang w:eastAsia="en-US"/>
        </w:rPr>
        <w:t xml:space="preserve">utjecaj je </w:t>
      </w:r>
      <w:r w:rsidR="00AB5434" w:rsidRPr="00AB5434">
        <w:rPr>
          <w:rFonts w:eastAsia="Calibri"/>
          <w:lang w:eastAsia="en-US"/>
        </w:rPr>
        <w:t xml:space="preserve">imalo povećanje </w:t>
      </w:r>
      <w:r w:rsidR="00412B5F">
        <w:rPr>
          <w:rFonts w:eastAsia="Calibri"/>
          <w:lang w:eastAsia="en-US"/>
        </w:rPr>
        <w:t>rashoda za bankarske usluge i usluge</w:t>
      </w:r>
      <w:r w:rsidR="00AB5434">
        <w:rPr>
          <w:rFonts w:eastAsia="Calibri"/>
          <w:lang w:eastAsia="en-US"/>
        </w:rPr>
        <w:t xml:space="preserve"> platnog prometa</w:t>
      </w:r>
      <w:r w:rsidR="00AB5434" w:rsidRPr="00AB5434">
        <w:rPr>
          <w:rFonts w:eastAsia="Calibri"/>
          <w:lang w:eastAsia="en-US"/>
        </w:rPr>
        <w:t>.</w:t>
      </w:r>
    </w:p>
    <w:p w14:paraId="1F4B7983" w14:textId="77777777" w:rsidR="006E7D10" w:rsidRDefault="006E7D10" w:rsidP="006E7D10">
      <w:pPr>
        <w:suppressAutoHyphens/>
        <w:spacing w:line="259" w:lineRule="auto"/>
        <w:jc w:val="both"/>
        <w:rPr>
          <w:rFonts w:eastAsia="Calibri"/>
          <w:lang w:eastAsia="en-US"/>
        </w:rPr>
      </w:pPr>
    </w:p>
    <w:p w14:paraId="76A85258" w14:textId="77777777" w:rsidR="00BC4B8C" w:rsidRDefault="00BC4B8C" w:rsidP="00BC4B8C">
      <w:pPr>
        <w:jc w:val="center"/>
      </w:pPr>
      <w:r>
        <w:t>Bilješka 10.</w:t>
      </w:r>
    </w:p>
    <w:p w14:paraId="0F292831" w14:textId="224E3893" w:rsidR="00BC4B8C" w:rsidRDefault="00BC4B8C" w:rsidP="00BC4B8C">
      <w:pPr>
        <w:suppressAutoHyphens/>
        <w:spacing w:line="259" w:lineRule="auto"/>
        <w:jc w:val="center"/>
      </w:pPr>
      <w:r>
        <w:t>7 Prihodi od prodaje nefinancijske imovine</w:t>
      </w:r>
    </w:p>
    <w:p w14:paraId="7684F928" w14:textId="77777777" w:rsidR="00BC4B8C" w:rsidRDefault="00BC4B8C" w:rsidP="00BC4B8C">
      <w:pPr>
        <w:suppressAutoHyphens/>
        <w:spacing w:line="259" w:lineRule="auto"/>
        <w:jc w:val="center"/>
      </w:pPr>
    </w:p>
    <w:p w14:paraId="439ABCEA" w14:textId="175ED033" w:rsidR="00BC4B8C" w:rsidRDefault="00BC4B8C" w:rsidP="00BC4B8C">
      <w:pPr>
        <w:suppressAutoHyphens/>
        <w:spacing w:line="259" w:lineRule="auto"/>
        <w:jc w:val="both"/>
      </w:pPr>
      <w:r w:rsidRPr="00BC4B8C">
        <w:t xml:space="preserve">Prihodi od prodaje nefinancijske imovine </w:t>
      </w:r>
      <w:r w:rsidR="00BE745A">
        <w:t>u</w:t>
      </w:r>
      <w:r w:rsidR="00BE745A" w:rsidRPr="00BC4B8C">
        <w:t xml:space="preserve"> 2022. </w:t>
      </w:r>
      <w:r w:rsidR="00BE745A">
        <w:t>su evidentirani</w:t>
      </w:r>
      <w:r w:rsidRPr="00BC4B8C">
        <w:t xml:space="preserve"> u iznosu od 140.826,50 kn što predstavlja povećanje u odnosu na promatrano razdoblje prethodne godine. Prihodi od prodaje nefinancijske imovine su najvećim dijelom ostvareni uslijed prodaje dva službena vozila HAKOM-a</w:t>
      </w:r>
      <w:r w:rsidR="005D7495">
        <w:t xml:space="preserve"> </w:t>
      </w:r>
      <w:r w:rsidR="005D7495">
        <w:lastRenderedPageBreak/>
        <w:t>starijih od 8 godina</w:t>
      </w:r>
      <w:r w:rsidRPr="00BC4B8C">
        <w:t>.</w:t>
      </w:r>
      <w:r w:rsidR="005D7495" w:rsidRPr="005D7495">
        <w:t xml:space="preserve"> Prodaja službenih vozila je obavljena provedbom javnog natječaja o prodaji službenih vozila. Službena vozila su prodana putem prikupljanja zatvorenih pisanih ponuda, a kriterij za odabir ponude je bila najviša ponuđena kupoprodajna cijena.</w:t>
      </w:r>
      <w:r w:rsidR="005D7495">
        <w:t xml:space="preserve"> </w:t>
      </w:r>
    </w:p>
    <w:p w14:paraId="7138B4DF" w14:textId="77777777" w:rsidR="00BC4B8C" w:rsidRPr="00961300" w:rsidRDefault="00BC4B8C" w:rsidP="00BC4B8C">
      <w:pPr>
        <w:suppressAutoHyphens/>
        <w:spacing w:line="259" w:lineRule="auto"/>
        <w:jc w:val="center"/>
        <w:rPr>
          <w:rFonts w:eastAsia="Calibri"/>
          <w:lang w:eastAsia="en-US"/>
        </w:rPr>
      </w:pPr>
    </w:p>
    <w:p w14:paraId="251C7887" w14:textId="44AB431C" w:rsidR="00A65998" w:rsidRDefault="005B0448" w:rsidP="00A65998">
      <w:pPr>
        <w:jc w:val="center"/>
      </w:pPr>
      <w:r>
        <w:t>Bilješka 1</w:t>
      </w:r>
      <w:r w:rsidR="00A34512">
        <w:t>1</w:t>
      </w:r>
      <w:r>
        <w:t>.</w:t>
      </w:r>
    </w:p>
    <w:p w14:paraId="5048A83C" w14:textId="1D831A1F" w:rsidR="00A65998" w:rsidRDefault="008B548A" w:rsidP="00A65998">
      <w:pPr>
        <w:jc w:val="center"/>
      </w:pPr>
      <w:r>
        <w:t>4</w:t>
      </w:r>
      <w:r w:rsidR="00A65998">
        <w:t xml:space="preserve"> Rashodi za nabavu nefinancijske imovine</w:t>
      </w:r>
    </w:p>
    <w:p w14:paraId="0B41A9A7" w14:textId="77777777" w:rsidR="00F22950" w:rsidRDefault="00F22950" w:rsidP="00A65998">
      <w:pPr>
        <w:jc w:val="center"/>
      </w:pPr>
    </w:p>
    <w:p w14:paraId="5FCE7DDD" w14:textId="50FBB727" w:rsidR="00B77742" w:rsidRDefault="00A65998" w:rsidP="00A65998">
      <w:pPr>
        <w:jc w:val="both"/>
      </w:pPr>
      <w:r>
        <w:t>Rashodi</w:t>
      </w:r>
      <w:r w:rsidRPr="004B3C38">
        <w:t xml:space="preserve"> </w:t>
      </w:r>
      <w:r>
        <w:t>za nabavu</w:t>
      </w:r>
      <w:r w:rsidRPr="004B3C38">
        <w:t xml:space="preserve"> </w:t>
      </w:r>
      <w:r>
        <w:t>nefinancijske</w:t>
      </w:r>
      <w:r w:rsidRPr="004B3C38">
        <w:t xml:space="preserve"> </w:t>
      </w:r>
      <w:r>
        <w:t>imovine</w:t>
      </w:r>
      <w:r w:rsidRPr="004B3C38">
        <w:t xml:space="preserve"> su ostvareni u iznosu od </w:t>
      </w:r>
      <w:r w:rsidR="00535170" w:rsidRPr="00535170">
        <w:t>10.431.684,95</w:t>
      </w:r>
      <w:r w:rsidRPr="004B3C38">
        <w:t xml:space="preserve"> kn </w:t>
      </w:r>
      <w:r>
        <w:t xml:space="preserve">te se najvećim dijelom odnose na </w:t>
      </w:r>
      <w:r w:rsidR="00535170">
        <w:t>ulaganja u računalne programe</w:t>
      </w:r>
      <w:r w:rsidR="00D61383">
        <w:t xml:space="preserve"> (CABP sustav)</w:t>
      </w:r>
      <w:r w:rsidR="00535170">
        <w:t xml:space="preserve">, </w:t>
      </w:r>
      <w:r w:rsidR="00535170" w:rsidRPr="00535170">
        <w:t>na rashode za dodatna ulaganja za ostalu nefinancijsku imovinu</w:t>
      </w:r>
      <w:r w:rsidR="00501D25">
        <w:t xml:space="preserve"> (nadogradnja Navisiona, e-Dozvola, e-Operatora, e-Glavnog projekta, aplikacije HAKOMetar plus, aplikacije SAT i dr.)</w:t>
      </w:r>
      <w:r w:rsidR="00535170" w:rsidRPr="00535170">
        <w:t>, rashode za nabavu mjernih instrumenata i uređaja</w:t>
      </w:r>
      <w:r w:rsidR="006A21B9">
        <w:t xml:space="preserve"> za potrebe mjerenja radiofrekvencijskog spektra</w:t>
      </w:r>
      <w:r w:rsidR="00535170" w:rsidRPr="00535170">
        <w:t xml:space="preserve">, uredske opreme </w:t>
      </w:r>
      <w:r w:rsidR="00731DB9">
        <w:t xml:space="preserve">(računala, bežična računalna oprema, računalna mrežna oprema) </w:t>
      </w:r>
      <w:r w:rsidR="00392E95">
        <w:t>te rashode</w:t>
      </w:r>
      <w:r w:rsidR="00535170" w:rsidRPr="00535170">
        <w:t xml:space="preserve"> za nabavu prijevoznih sredstava u cestovnom prometu </w:t>
      </w:r>
      <w:r w:rsidR="008E15F9">
        <w:t>(nabavljeno je novo mjerno vozilo).</w:t>
      </w:r>
    </w:p>
    <w:p w14:paraId="38177F19" w14:textId="77777777" w:rsidR="00A65998" w:rsidRDefault="00A65998" w:rsidP="00A65998">
      <w:pPr>
        <w:jc w:val="both"/>
      </w:pPr>
    </w:p>
    <w:p w14:paraId="648C2FE9" w14:textId="77777777" w:rsidR="00197E20" w:rsidRDefault="00197E20" w:rsidP="00A65998">
      <w:pPr>
        <w:jc w:val="both"/>
      </w:pPr>
    </w:p>
    <w:p w14:paraId="4E6B506C" w14:textId="7DD65191" w:rsidR="00961B70" w:rsidRPr="00217256" w:rsidRDefault="00961B70" w:rsidP="00961B70">
      <w:pPr>
        <w:numPr>
          <w:ilvl w:val="0"/>
          <w:numId w:val="11"/>
        </w:numPr>
        <w:suppressAutoHyphens/>
        <w:spacing w:after="160" w:line="259" w:lineRule="auto"/>
        <w:ind w:left="426" w:hanging="426"/>
        <w:contextualSpacing/>
        <w:rPr>
          <w:rFonts w:eastAsia="Calibri"/>
          <w:b/>
          <w:lang w:eastAsia="en-US"/>
        </w:rPr>
      </w:pPr>
      <w:r w:rsidRPr="00217256">
        <w:rPr>
          <w:rFonts w:eastAsia="Calibri"/>
          <w:b/>
          <w:lang w:eastAsia="en-US"/>
        </w:rPr>
        <w:t xml:space="preserve">BILJEŠKE UZ BILANCU (OBRAZAC BIL)   </w:t>
      </w:r>
    </w:p>
    <w:p w14:paraId="57059D30" w14:textId="77777777" w:rsidR="006E7D10" w:rsidRPr="0099311F" w:rsidRDefault="006E7D10" w:rsidP="00961B70">
      <w:pPr>
        <w:suppressAutoHyphens/>
        <w:spacing w:after="160" w:line="259" w:lineRule="auto"/>
        <w:ind w:left="426"/>
        <w:contextualSpacing/>
        <w:rPr>
          <w:rFonts w:eastAsia="Calibri"/>
          <w:b/>
          <w:highlight w:val="yellow"/>
          <w:lang w:eastAsia="en-US"/>
        </w:rPr>
      </w:pPr>
    </w:p>
    <w:p w14:paraId="43A7D885" w14:textId="51932923" w:rsidR="00961B70" w:rsidRPr="00217256" w:rsidRDefault="00A357C6" w:rsidP="00961B70">
      <w:pPr>
        <w:jc w:val="center"/>
      </w:pPr>
      <w:r w:rsidRPr="00217256">
        <w:t>Bilješka 1</w:t>
      </w:r>
      <w:r w:rsidR="00A34512" w:rsidRPr="00217256">
        <w:t>2</w:t>
      </w:r>
      <w:r w:rsidR="00961B70" w:rsidRPr="00217256">
        <w:t>.</w:t>
      </w:r>
    </w:p>
    <w:p w14:paraId="26396DF0" w14:textId="6BBB9050" w:rsidR="00135061" w:rsidRPr="00217256" w:rsidRDefault="00217256" w:rsidP="00135061">
      <w:pPr>
        <w:jc w:val="center"/>
      </w:pPr>
      <w:r>
        <w:t>01</w:t>
      </w:r>
      <w:r w:rsidR="00135061" w:rsidRPr="00217256">
        <w:t xml:space="preserve"> Neproizvedena dugotrajna imovina</w:t>
      </w:r>
    </w:p>
    <w:p w14:paraId="7116285B" w14:textId="77777777" w:rsidR="00F22950" w:rsidRPr="00217256" w:rsidRDefault="00F22950" w:rsidP="00135061">
      <w:pPr>
        <w:jc w:val="center"/>
      </w:pPr>
    </w:p>
    <w:p w14:paraId="3CB6F54B" w14:textId="3967CECE" w:rsidR="0013500D" w:rsidRPr="00217256" w:rsidRDefault="00B972B7" w:rsidP="00F22950">
      <w:pPr>
        <w:suppressAutoHyphens/>
        <w:spacing w:line="259" w:lineRule="auto"/>
        <w:jc w:val="both"/>
        <w:rPr>
          <w:rFonts w:eastAsia="Calibri"/>
          <w:lang w:eastAsia="en-US"/>
        </w:rPr>
      </w:pPr>
      <w:r w:rsidRPr="00217256">
        <w:rPr>
          <w:rFonts w:eastAsia="Calibri"/>
          <w:lang w:eastAsia="en-US"/>
        </w:rPr>
        <w:t>Povećanje</w:t>
      </w:r>
      <w:r w:rsidR="00E53520" w:rsidRPr="00217256">
        <w:rPr>
          <w:rFonts w:eastAsia="Calibri"/>
          <w:lang w:eastAsia="en-US"/>
        </w:rPr>
        <w:t xml:space="preserve"> </w:t>
      </w:r>
      <w:r w:rsidR="008D312D">
        <w:rPr>
          <w:rFonts w:eastAsia="Calibri"/>
          <w:lang w:eastAsia="en-US"/>
        </w:rPr>
        <w:t xml:space="preserve">nabavne vrijednosti </w:t>
      </w:r>
      <w:proofErr w:type="spellStart"/>
      <w:r w:rsidR="0013500D" w:rsidRPr="00217256">
        <w:rPr>
          <w:rFonts w:eastAsia="Calibri"/>
          <w:lang w:eastAsia="en-US"/>
        </w:rPr>
        <w:t>neproizvedene</w:t>
      </w:r>
      <w:proofErr w:type="spellEnd"/>
      <w:r w:rsidR="0013500D" w:rsidRPr="00217256">
        <w:rPr>
          <w:rFonts w:eastAsia="Calibri"/>
          <w:lang w:eastAsia="en-US"/>
        </w:rPr>
        <w:t xml:space="preserve"> dugotrajne</w:t>
      </w:r>
      <w:r w:rsidR="00E53520" w:rsidRPr="00217256">
        <w:rPr>
          <w:rFonts w:eastAsia="Calibri"/>
          <w:lang w:eastAsia="en-US"/>
        </w:rPr>
        <w:t xml:space="preserve"> imovine je rezultat </w:t>
      </w:r>
      <w:r w:rsidRPr="00217256">
        <w:rPr>
          <w:rFonts w:eastAsia="Calibri"/>
          <w:lang w:eastAsia="en-US"/>
        </w:rPr>
        <w:t xml:space="preserve">nabave licenci za </w:t>
      </w:r>
      <w:r w:rsidR="00217256">
        <w:rPr>
          <w:rFonts w:eastAsia="Calibri"/>
          <w:lang w:eastAsia="en-US"/>
        </w:rPr>
        <w:t xml:space="preserve">sustav </w:t>
      </w:r>
      <w:proofErr w:type="spellStart"/>
      <w:r w:rsidRPr="00217256">
        <w:rPr>
          <w:rFonts w:eastAsia="Calibri"/>
          <w:lang w:eastAsia="en-US"/>
        </w:rPr>
        <w:t>Centrix</w:t>
      </w:r>
      <w:proofErr w:type="spellEnd"/>
      <w:r w:rsidRPr="00217256">
        <w:rPr>
          <w:rFonts w:eastAsia="Calibri"/>
          <w:lang w:eastAsia="en-US"/>
        </w:rPr>
        <w:t>. Obračunat je ispravak</w:t>
      </w:r>
      <w:r w:rsidR="00E53520" w:rsidRPr="00217256">
        <w:rPr>
          <w:rFonts w:eastAsia="Calibri"/>
          <w:lang w:eastAsia="en-US"/>
        </w:rPr>
        <w:t xml:space="preserve"> vrijednosti </w:t>
      </w:r>
      <w:r w:rsidR="001E44E7" w:rsidRPr="00217256">
        <w:rPr>
          <w:rFonts w:eastAsia="Calibri"/>
          <w:lang w:eastAsia="en-US"/>
        </w:rPr>
        <w:t xml:space="preserve">neproizvedene dugotrajne imovine </w:t>
      </w:r>
      <w:r w:rsidR="00E53520" w:rsidRPr="00217256">
        <w:rPr>
          <w:rFonts w:eastAsia="Calibri"/>
          <w:lang w:eastAsia="en-US"/>
        </w:rPr>
        <w:t>za 20</w:t>
      </w:r>
      <w:r w:rsidR="0013500D" w:rsidRPr="00217256">
        <w:rPr>
          <w:rFonts w:eastAsia="Calibri"/>
          <w:lang w:eastAsia="en-US"/>
        </w:rPr>
        <w:t>2</w:t>
      </w:r>
      <w:r w:rsidR="00217256">
        <w:rPr>
          <w:rFonts w:eastAsia="Calibri"/>
          <w:lang w:eastAsia="en-US"/>
        </w:rPr>
        <w:t>2</w:t>
      </w:r>
      <w:r w:rsidR="00E53520" w:rsidRPr="00217256">
        <w:rPr>
          <w:rFonts w:eastAsia="Calibri"/>
          <w:lang w:eastAsia="en-US"/>
        </w:rPr>
        <w:t>.</w:t>
      </w:r>
    </w:p>
    <w:p w14:paraId="2D815E26" w14:textId="77777777" w:rsidR="006E7D10" w:rsidRPr="0099311F" w:rsidRDefault="006E7D10" w:rsidP="00797534">
      <w:pPr>
        <w:suppressAutoHyphens/>
        <w:spacing w:line="259" w:lineRule="auto"/>
        <w:rPr>
          <w:rFonts w:eastAsia="Calibri"/>
          <w:highlight w:val="yellow"/>
          <w:lang w:eastAsia="en-US"/>
        </w:rPr>
      </w:pPr>
    </w:p>
    <w:p w14:paraId="720F663D" w14:textId="6C175F99" w:rsidR="00000CB3" w:rsidRPr="00E82599" w:rsidRDefault="00000CB3" w:rsidP="00000CB3">
      <w:pPr>
        <w:jc w:val="center"/>
      </w:pPr>
      <w:r w:rsidRPr="00E82599">
        <w:t>Bilješka 1</w:t>
      </w:r>
      <w:r w:rsidR="00A34512" w:rsidRPr="00E82599">
        <w:t>3</w:t>
      </w:r>
      <w:r w:rsidRPr="00E82599">
        <w:t>.</w:t>
      </w:r>
    </w:p>
    <w:p w14:paraId="53D2306A" w14:textId="70E46DB9" w:rsidR="00000CB3" w:rsidRPr="00E82599" w:rsidRDefault="00E82599" w:rsidP="00000CB3">
      <w:pPr>
        <w:jc w:val="center"/>
      </w:pPr>
      <w:r>
        <w:t>02</w:t>
      </w:r>
      <w:r w:rsidR="00000CB3" w:rsidRPr="00E82599">
        <w:t xml:space="preserve"> </w:t>
      </w:r>
      <w:r w:rsidR="009B433A" w:rsidRPr="00E82599">
        <w:t>Proizvedena dugotrajna imovina</w:t>
      </w:r>
    </w:p>
    <w:p w14:paraId="7A173034" w14:textId="77777777" w:rsidR="00F22950" w:rsidRPr="00E82599" w:rsidRDefault="00F22950" w:rsidP="00000CB3">
      <w:pPr>
        <w:jc w:val="center"/>
      </w:pPr>
    </w:p>
    <w:p w14:paraId="27E03760" w14:textId="783ECAB1" w:rsidR="00C42025" w:rsidRPr="00C32ED3" w:rsidRDefault="001933DB" w:rsidP="00FF01D4">
      <w:pPr>
        <w:suppressAutoHyphens/>
        <w:spacing w:line="259" w:lineRule="auto"/>
        <w:jc w:val="both"/>
        <w:rPr>
          <w:rFonts w:eastAsia="Calibri"/>
          <w:lang w:eastAsia="en-US"/>
        </w:rPr>
      </w:pPr>
      <w:r w:rsidRPr="00E82599">
        <w:rPr>
          <w:rFonts w:eastAsia="Calibri"/>
          <w:lang w:eastAsia="en-US"/>
        </w:rPr>
        <w:t>Tijekom 202</w:t>
      </w:r>
      <w:r w:rsidR="003D5086">
        <w:rPr>
          <w:rFonts w:eastAsia="Calibri"/>
          <w:lang w:eastAsia="en-US"/>
        </w:rPr>
        <w:t>2</w:t>
      </w:r>
      <w:r w:rsidRPr="00E82599">
        <w:rPr>
          <w:rFonts w:eastAsia="Calibri"/>
          <w:lang w:eastAsia="en-US"/>
        </w:rPr>
        <w:t>.</w:t>
      </w:r>
      <w:r w:rsidR="00000CB3" w:rsidRPr="00E82599">
        <w:rPr>
          <w:rFonts w:eastAsia="Calibri"/>
          <w:lang w:eastAsia="en-US"/>
        </w:rPr>
        <w:t xml:space="preserve"> </w:t>
      </w:r>
      <w:r w:rsidRPr="00E82599">
        <w:rPr>
          <w:rFonts w:eastAsia="Calibri"/>
          <w:lang w:eastAsia="en-US"/>
        </w:rPr>
        <w:t>nabavljena su</w:t>
      </w:r>
      <w:r w:rsidR="007D069D" w:rsidRPr="00E82599">
        <w:rPr>
          <w:rFonts w:eastAsia="Calibri"/>
          <w:lang w:eastAsia="en-US"/>
        </w:rPr>
        <w:t xml:space="preserve"> </w:t>
      </w:r>
      <w:r w:rsidR="002A7849" w:rsidRPr="00E82599">
        <w:rPr>
          <w:rFonts w:eastAsia="Calibri"/>
          <w:lang w:eastAsia="en-US"/>
        </w:rPr>
        <w:t xml:space="preserve">nova </w:t>
      </w:r>
      <w:r w:rsidR="007D069D" w:rsidRPr="00E82599">
        <w:rPr>
          <w:rFonts w:eastAsia="Calibri"/>
          <w:lang w:eastAsia="en-US"/>
        </w:rPr>
        <w:t>računala i računalna oprema, pokretna komunikacijska oprema, oprema</w:t>
      </w:r>
      <w:r w:rsidR="00E278F9" w:rsidRPr="00E82599">
        <w:rPr>
          <w:rFonts w:eastAsia="Calibri"/>
          <w:lang w:eastAsia="en-US"/>
        </w:rPr>
        <w:t xml:space="preserve"> za održavanje i zaštitu, </w:t>
      </w:r>
      <w:r w:rsidR="007D069D" w:rsidRPr="00E82599">
        <w:rPr>
          <w:rFonts w:eastAsia="Calibri"/>
          <w:lang w:eastAsia="en-US"/>
        </w:rPr>
        <w:t>mjerni</w:t>
      </w:r>
      <w:r w:rsidR="00B23348" w:rsidRPr="00E82599">
        <w:rPr>
          <w:rFonts w:eastAsia="Calibri"/>
          <w:lang w:eastAsia="en-US"/>
        </w:rPr>
        <w:t xml:space="preserve"> uređaj</w:t>
      </w:r>
      <w:r w:rsidR="007D069D" w:rsidRPr="00E82599">
        <w:rPr>
          <w:rFonts w:eastAsia="Calibri"/>
          <w:lang w:eastAsia="en-US"/>
        </w:rPr>
        <w:t>i,</w:t>
      </w:r>
      <w:r w:rsidR="00460F61">
        <w:rPr>
          <w:rFonts w:eastAsia="Calibri"/>
          <w:lang w:eastAsia="en-US"/>
        </w:rPr>
        <w:t xml:space="preserve"> kontrolno-mjerna postaja Osorščica s pripadajućom nefinancijskom imovinom,</w:t>
      </w:r>
      <w:r w:rsidR="007D069D" w:rsidRPr="00E82599">
        <w:rPr>
          <w:rFonts w:eastAsia="Calibri"/>
          <w:lang w:eastAsia="en-US"/>
        </w:rPr>
        <w:t xml:space="preserve"> </w:t>
      </w:r>
      <w:r w:rsidR="00460F61">
        <w:rPr>
          <w:rFonts w:eastAsia="Calibri"/>
          <w:lang w:eastAsia="en-US"/>
        </w:rPr>
        <w:t xml:space="preserve">mjerno vozilo, </w:t>
      </w:r>
      <w:r w:rsidR="007D069D" w:rsidRPr="00E82599">
        <w:rPr>
          <w:rFonts w:eastAsia="Calibri"/>
          <w:lang w:eastAsia="en-US"/>
        </w:rPr>
        <w:t>računalni</w:t>
      </w:r>
      <w:r w:rsidR="00E278F9" w:rsidRPr="00E82599">
        <w:rPr>
          <w:rFonts w:eastAsia="Calibri"/>
          <w:lang w:eastAsia="en-US"/>
        </w:rPr>
        <w:t xml:space="preserve"> program</w:t>
      </w:r>
      <w:r w:rsidR="007D069D" w:rsidRPr="00E82599">
        <w:rPr>
          <w:rFonts w:eastAsia="Calibri"/>
          <w:lang w:eastAsia="en-US"/>
        </w:rPr>
        <w:t>i i uredski namještaj</w:t>
      </w:r>
      <w:r w:rsidR="00E278F9" w:rsidRPr="00E82599">
        <w:rPr>
          <w:rFonts w:eastAsia="Calibri"/>
          <w:lang w:eastAsia="en-US"/>
        </w:rPr>
        <w:t xml:space="preserve">. </w:t>
      </w:r>
      <w:r w:rsidR="006768EA" w:rsidRPr="00E82599">
        <w:rPr>
          <w:rFonts w:eastAsia="Calibri"/>
          <w:lang w:eastAsia="en-US"/>
        </w:rPr>
        <w:t xml:space="preserve">Dio </w:t>
      </w:r>
      <w:r w:rsidR="000F29CA" w:rsidRPr="00E82599">
        <w:rPr>
          <w:rFonts w:eastAsia="Calibri"/>
          <w:lang w:eastAsia="en-US"/>
        </w:rPr>
        <w:t xml:space="preserve">stare </w:t>
      </w:r>
      <w:r w:rsidR="006768EA" w:rsidRPr="00E82599">
        <w:rPr>
          <w:rFonts w:eastAsia="Calibri"/>
          <w:lang w:eastAsia="en-US"/>
        </w:rPr>
        <w:t>pro</w:t>
      </w:r>
      <w:r w:rsidR="000F29CA" w:rsidRPr="00E82599">
        <w:rPr>
          <w:rFonts w:eastAsia="Calibri"/>
          <w:lang w:eastAsia="en-US"/>
        </w:rPr>
        <w:t>izvedene dugotrajne imovine koja</w:t>
      </w:r>
      <w:r w:rsidR="006768EA" w:rsidRPr="00E82599">
        <w:rPr>
          <w:rFonts w:eastAsia="Calibri"/>
          <w:lang w:eastAsia="en-US"/>
        </w:rPr>
        <w:t xml:space="preserve"> je zamijenjen</w:t>
      </w:r>
      <w:r w:rsidR="000F29CA" w:rsidRPr="00E82599">
        <w:rPr>
          <w:rFonts w:eastAsia="Calibri"/>
          <w:lang w:eastAsia="en-US"/>
        </w:rPr>
        <w:t>a</w:t>
      </w:r>
      <w:r w:rsidR="006768EA" w:rsidRPr="00E82599">
        <w:rPr>
          <w:rFonts w:eastAsia="Calibri"/>
          <w:lang w:eastAsia="en-US"/>
        </w:rPr>
        <w:t xml:space="preserve"> novom je </w:t>
      </w:r>
      <w:r w:rsidR="00F7285C" w:rsidRPr="00E82599">
        <w:rPr>
          <w:rFonts w:eastAsia="Calibri"/>
          <w:lang w:eastAsia="en-US"/>
        </w:rPr>
        <w:t xml:space="preserve">odlukama </w:t>
      </w:r>
      <w:r w:rsidR="006768EA" w:rsidRPr="00E82599">
        <w:rPr>
          <w:rFonts w:eastAsia="Calibri"/>
          <w:lang w:eastAsia="en-US"/>
        </w:rPr>
        <w:t>rashodovan</w:t>
      </w:r>
      <w:r w:rsidR="00561E27" w:rsidRPr="00E82599">
        <w:rPr>
          <w:rFonts w:eastAsia="Calibri"/>
          <w:lang w:eastAsia="en-US"/>
        </w:rPr>
        <w:t xml:space="preserve"> i </w:t>
      </w:r>
      <w:r w:rsidR="00CD3E4A" w:rsidRPr="00E82599">
        <w:rPr>
          <w:rFonts w:eastAsia="Calibri"/>
          <w:lang w:eastAsia="en-US"/>
        </w:rPr>
        <w:t>isknjižen iz poslovnih knjiga temeljem potvrda o ekološkom zbrinjavanju</w:t>
      </w:r>
      <w:r w:rsidR="008A49AC" w:rsidRPr="00E82599">
        <w:rPr>
          <w:rFonts w:eastAsia="Calibri"/>
          <w:lang w:eastAsia="en-US"/>
        </w:rPr>
        <w:t xml:space="preserve"> i</w:t>
      </w:r>
      <w:r w:rsidR="00561E27" w:rsidRPr="00E82599">
        <w:rPr>
          <w:rFonts w:eastAsia="Calibri"/>
          <w:lang w:eastAsia="en-US"/>
        </w:rPr>
        <w:t xml:space="preserve"> </w:t>
      </w:r>
      <w:r w:rsidR="002F2EC2" w:rsidRPr="00E82599">
        <w:rPr>
          <w:rFonts w:eastAsia="Calibri"/>
          <w:lang w:eastAsia="en-US"/>
        </w:rPr>
        <w:t>primitku</w:t>
      </w:r>
      <w:r w:rsidR="00C32ED3">
        <w:rPr>
          <w:rFonts w:eastAsia="Calibri"/>
          <w:lang w:eastAsia="en-US"/>
        </w:rPr>
        <w:t xml:space="preserve"> u naravi</w:t>
      </w:r>
      <w:r w:rsidR="006768EA" w:rsidRPr="00E82599">
        <w:rPr>
          <w:rFonts w:eastAsia="Calibri"/>
          <w:lang w:eastAsia="en-US"/>
        </w:rPr>
        <w:t xml:space="preserve">. </w:t>
      </w:r>
      <w:r w:rsidR="001F2467" w:rsidRPr="00E82599">
        <w:rPr>
          <w:rFonts w:eastAsia="Calibri"/>
          <w:lang w:eastAsia="en-US"/>
        </w:rPr>
        <w:t xml:space="preserve">Obračunat je ispravak vrijednosti </w:t>
      </w:r>
      <w:r w:rsidR="001E44E7" w:rsidRPr="00E82599">
        <w:rPr>
          <w:rFonts w:eastAsia="Calibri"/>
          <w:lang w:eastAsia="en-US"/>
        </w:rPr>
        <w:t xml:space="preserve">proizvedene dugotrajne imovine </w:t>
      </w:r>
      <w:r w:rsidR="001F2467" w:rsidRPr="00E82599">
        <w:rPr>
          <w:rFonts w:eastAsia="Calibri"/>
          <w:lang w:eastAsia="en-US"/>
        </w:rPr>
        <w:t>za 202</w:t>
      </w:r>
      <w:r w:rsidR="00C32ED3">
        <w:rPr>
          <w:rFonts w:eastAsia="Calibri"/>
          <w:lang w:eastAsia="en-US"/>
        </w:rPr>
        <w:t>2.</w:t>
      </w:r>
    </w:p>
    <w:p w14:paraId="5FB936BD" w14:textId="77777777" w:rsidR="00C42025" w:rsidRPr="0099311F" w:rsidRDefault="00C42025" w:rsidP="00FF01D4">
      <w:pPr>
        <w:suppressAutoHyphens/>
        <w:spacing w:line="259" w:lineRule="auto"/>
        <w:jc w:val="both"/>
        <w:rPr>
          <w:rFonts w:eastAsia="Calibri"/>
          <w:highlight w:val="yellow"/>
          <w:lang w:eastAsia="en-US"/>
        </w:rPr>
      </w:pPr>
    </w:p>
    <w:p w14:paraId="335396C3" w14:textId="484815CA" w:rsidR="001963A7" w:rsidRPr="007B7545" w:rsidRDefault="001963A7" w:rsidP="00102D87">
      <w:pPr>
        <w:jc w:val="center"/>
      </w:pPr>
      <w:r w:rsidRPr="007B7545">
        <w:t>Bilješka 1</w:t>
      </w:r>
      <w:r w:rsidR="00A34512" w:rsidRPr="007B7545">
        <w:t>4</w:t>
      </w:r>
      <w:r w:rsidRPr="007B7545">
        <w:t>.</w:t>
      </w:r>
    </w:p>
    <w:p w14:paraId="25C2A84F" w14:textId="768D100B" w:rsidR="001963A7" w:rsidRPr="007B7545" w:rsidRDefault="001963A7" w:rsidP="00102D87">
      <w:pPr>
        <w:jc w:val="center"/>
      </w:pPr>
      <w:r w:rsidRPr="007B7545">
        <w:t>05 Dugotrajna nefinancijska imovina u pripremi</w:t>
      </w:r>
    </w:p>
    <w:p w14:paraId="669C630D" w14:textId="77777777" w:rsidR="00F22950" w:rsidRPr="007B7545" w:rsidRDefault="00F22950" w:rsidP="00102D87">
      <w:pPr>
        <w:jc w:val="center"/>
      </w:pPr>
    </w:p>
    <w:p w14:paraId="6C10C096" w14:textId="32EF8B78" w:rsidR="001963A7" w:rsidRPr="007B7545" w:rsidRDefault="001963A7" w:rsidP="001963A7">
      <w:pPr>
        <w:jc w:val="both"/>
      </w:pPr>
      <w:r w:rsidRPr="007B7545">
        <w:t xml:space="preserve">Dugotrajna nefinancijska imovina u pripremi je na dan 31. prosinca </w:t>
      </w:r>
      <w:r w:rsidR="0086028F" w:rsidRPr="007B7545">
        <w:t>202</w:t>
      </w:r>
      <w:r w:rsidR="009E0B7A">
        <w:t>2</w:t>
      </w:r>
      <w:r w:rsidR="0086028F" w:rsidRPr="007B7545">
        <w:t xml:space="preserve">. </w:t>
      </w:r>
      <w:r w:rsidRPr="007B7545">
        <w:t xml:space="preserve">evidentirana u iznosu od </w:t>
      </w:r>
      <w:r w:rsidR="009E0B7A" w:rsidRPr="009E0B7A">
        <w:t>2.240.163,06</w:t>
      </w:r>
      <w:r w:rsidRPr="007B7545">
        <w:t xml:space="preserve"> kn:</w:t>
      </w:r>
      <w:r w:rsidR="009E0B7A">
        <w:t xml:space="preserve"> </w:t>
      </w:r>
    </w:p>
    <w:p w14:paraId="2DA454E3" w14:textId="64C53345" w:rsidR="001963A7" w:rsidRPr="007B7545" w:rsidRDefault="00F450B4" w:rsidP="00F450B4">
      <w:pPr>
        <w:pStyle w:val="ListParagraph"/>
        <w:numPr>
          <w:ilvl w:val="0"/>
          <w:numId w:val="15"/>
        </w:numPr>
        <w:jc w:val="both"/>
      </w:pPr>
      <w:r w:rsidRPr="00F450B4">
        <w:t>827.558,17</w:t>
      </w:r>
      <w:r w:rsidR="001963A7" w:rsidRPr="007B7545">
        <w:t xml:space="preserve"> kn – građevinski objekti u pripremi (izrada projektne dokumentacije za </w:t>
      </w:r>
      <w:r w:rsidR="00473B48" w:rsidRPr="007B7545">
        <w:t>kontrolno-mjernu postaju (</w:t>
      </w:r>
      <w:r w:rsidR="001963A7" w:rsidRPr="007B7545">
        <w:t>KMP</w:t>
      </w:r>
      <w:r w:rsidR="00473B48" w:rsidRPr="007B7545">
        <w:t>)</w:t>
      </w:r>
      <w:r w:rsidR="001963A7" w:rsidRPr="007B7545">
        <w:t xml:space="preserve"> Bilogor</w:t>
      </w:r>
      <w:r w:rsidR="0029432E" w:rsidRPr="007B7545">
        <w:t>a</w:t>
      </w:r>
      <w:r w:rsidR="001963A7" w:rsidRPr="007B7545">
        <w:t xml:space="preserve">; izgradnja elektroenergetskih objekata za priključenje KMP-a Veliki Bokolj </w:t>
      </w:r>
      <w:r w:rsidR="006B1FED">
        <w:t xml:space="preserve">i KMP-a Bilogora </w:t>
      </w:r>
      <w:r w:rsidR="001963A7" w:rsidRPr="007B7545">
        <w:t>na elektroenergetsku distribucijsku mrežu)</w:t>
      </w:r>
      <w:r w:rsidR="00086CE7" w:rsidRPr="007B7545">
        <w:t>,</w:t>
      </w:r>
    </w:p>
    <w:p w14:paraId="2284A754" w14:textId="7C4CD5CC" w:rsidR="001963A7" w:rsidRPr="007B7545" w:rsidRDefault="00F450B4" w:rsidP="00F450B4">
      <w:pPr>
        <w:pStyle w:val="ListParagraph"/>
        <w:numPr>
          <w:ilvl w:val="0"/>
          <w:numId w:val="15"/>
        </w:numPr>
        <w:jc w:val="both"/>
      </w:pPr>
      <w:r w:rsidRPr="00F450B4">
        <w:t>501.004,89</w:t>
      </w:r>
      <w:r w:rsidR="001963A7" w:rsidRPr="007B7545">
        <w:t xml:space="preserve"> kn – postrojenja i oprema u pripremi</w:t>
      </w:r>
      <w:r w:rsidR="00C92247" w:rsidRPr="007B7545">
        <w:t xml:space="preserve"> (antenski stup za </w:t>
      </w:r>
      <w:r w:rsidR="002438BF" w:rsidRPr="007B7545">
        <w:t>HAKOM središte</w:t>
      </w:r>
      <w:r w:rsidR="00C92247" w:rsidRPr="007B7545">
        <w:t xml:space="preserve"> Split; antenski stup </w:t>
      </w:r>
      <w:r w:rsidR="001E44EE" w:rsidRPr="007B7545">
        <w:t>za KMP Bilogora</w:t>
      </w:r>
      <w:r w:rsidR="00C92247" w:rsidRPr="007B7545">
        <w:t>)</w:t>
      </w:r>
      <w:r w:rsidR="00086CE7" w:rsidRPr="007B7545">
        <w:t>,</w:t>
      </w:r>
    </w:p>
    <w:p w14:paraId="5BFD584B" w14:textId="4B959C35" w:rsidR="00D669DF" w:rsidRPr="007B7545" w:rsidRDefault="00F450B4" w:rsidP="00E2024D">
      <w:pPr>
        <w:pStyle w:val="ListParagraph"/>
        <w:numPr>
          <w:ilvl w:val="0"/>
          <w:numId w:val="15"/>
        </w:numPr>
        <w:jc w:val="both"/>
      </w:pPr>
      <w:r w:rsidRPr="00F450B4">
        <w:t>911.600,00</w:t>
      </w:r>
      <w:r w:rsidR="001963A7" w:rsidRPr="007B7545">
        <w:t xml:space="preserve"> kn – ostala nematerijalna proizvedena imovina u pripremi</w:t>
      </w:r>
      <w:r w:rsidR="00086CE7" w:rsidRPr="007B7545">
        <w:t xml:space="preserve"> (</w:t>
      </w:r>
      <w:r w:rsidR="00D669DF">
        <w:t>nadogradnja</w:t>
      </w:r>
      <w:r w:rsidR="00086CE7" w:rsidRPr="007B7545">
        <w:t xml:space="preserve"> </w:t>
      </w:r>
      <w:r w:rsidR="00D669DF">
        <w:t>s</w:t>
      </w:r>
      <w:r w:rsidR="00086CE7" w:rsidRPr="007B7545">
        <w:t xml:space="preserve">ustava </w:t>
      </w:r>
      <w:r w:rsidR="00D669DF">
        <w:t>e-Dozvole</w:t>
      </w:r>
      <w:r w:rsidR="00086CE7" w:rsidRPr="007B7545">
        <w:t xml:space="preserve"> – 1. </w:t>
      </w:r>
      <w:r w:rsidR="00D669DF">
        <w:t xml:space="preserve">i 2. </w:t>
      </w:r>
      <w:r w:rsidR="00086CE7" w:rsidRPr="007B7545">
        <w:t>faza</w:t>
      </w:r>
      <w:r w:rsidR="00266246">
        <w:t xml:space="preserve">; nadogradnja računovodstvenog sustava Navision </w:t>
      </w:r>
      <w:r w:rsidR="00B301DB">
        <w:t>-</w:t>
      </w:r>
      <w:r w:rsidR="00266246">
        <w:t xml:space="preserve"> uvođenje eura</w:t>
      </w:r>
      <w:r w:rsidR="00086CE7" w:rsidRPr="007B7545">
        <w:t>).</w:t>
      </w:r>
    </w:p>
    <w:p w14:paraId="14ADDEC1" w14:textId="04AC6E49" w:rsidR="00102D87" w:rsidRPr="00DA31EA" w:rsidRDefault="00102D87" w:rsidP="00102D87">
      <w:pPr>
        <w:jc w:val="center"/>
      </w:pPr>
      <w:r w:rsidRPr="00DA31EA">
        <w:lastRenderedPageBreak/>
        <w:t>Bilješka 1</w:t>
      </w:r>
      <w:r w:rsidR="00A34512" w:rsidRPr="00DA31EA">
        <w:t>5</w:t>
      </w:r>
      <w:r w:rsidRPr="00DA31EA">
        <w:t>.</w:t>
      </w:r>
    </w:p>
    <w:p w14:paraId="6D475552" w14:textId="41324996" w:rsidR="00102D87" w:rsidRPr="00DA31EA" w:rsidRDefault="00DA31EA" w:rsidP="00102D87">
      <w:pPr>
        <w:jc w:val="center"/>
      </w:pPr>
      <w:r w:rsidRPr="00DA31EA">
        <w:t>11</w:t>
      </w:r>
      <w:r w:rsidR="00102D87" w:rsidRPr="00DA31EA">
        <w:t xml:space="preserve"> </w:t>
      </w:r>
      <w:r w:rsidR="006D77A3" w:rsidRPr="00DA31EA">
        <w:t>Novac u banci i blagajni</w:t>
      </w:r>
    </w:p>
    <w:p w14:paraId="1890D5D9" w14:textId="77777777" w:rsidR="00F22950" w:rsidRPr="00DA31EA" w:rsidRDefault="00F22950" w:rsidP="00102D87">
      <w:pPr>
        <w:jc w:val="center"/>
      </w:pPr>
    </w:p>
    <w:p w14:paraId="1F7B86A4" w14:textId="5A27EBAB" w:rsidR="00102D87" w:rsidRPr="00DA31EA" w:rsidRDefault="00E53520" w:rsidP="00195F79">
      <w:pPr>
        <w:suppressAutoHyphens/>
        <w:spacing w:line="259" w:lineRule="auto"/>
        <w:jc w:val="both"/>
        <w:rPr>
          <w:rFonts w:eastAsia="Calibri"/>
          <w:lang w:eastAsia="en-US"/>
        </w:rPr>
      </w:pPr>
      <w:r w:rsidRPr="00DA31EA">
        <w:rPr>
          <w:rFonts w:eastAsia="Calibri"/>
          <w:lang w:eastAsia="en-US"/>
        </w:rPr>
        <w:t xml:space="preserve">Strukturu financijske imovine u ukupnom iznosu od </w:t>
      </w:r>
      <w:r w:rsidR="00DA31EA" w:rsidRPr="00DA31EA">
        <w:rPr>
          <w:rFonts w:eastAsia="Calibri"/>
          <w:lang w:eastAsia="en-US"/>
        </w:rPr>
        <w:t>110.698.099,82</w:t>
      </w:r>
      <w:r w:rsidRPr="00DA31EA">
        <w:rPr>
          <w:rFonts w:eastAsia="Calibri"/>
          <w:lang w:eastAsia="en-US"/>
        </w:rPr>
        <w:t xml:space="preserve"> kn </w:t>
      </w:r>
      <w:r w:rsidR="00E762E9" w:rsidRPr="00DA31EA">
        <w:rPr>
          <w:rFonts w:eastAsia="Calibri"/>
          <w:lang w:eastAsia="en-US"/>
        </w:rPr>
        <w:t>(</w:t>
      </w:r>
      <w:r w:rsidR="00DA31EA">
        <w:rPr>
          <w:rFonts w:eastAsia="Calibri"/>
          <w:lang w:eastAsia="en-US"/>
        </w:rPr>
        <w:t>šifra 1</w:t>
      </w:r>
      <w:r w:rsidR="00E762E9" w:rsidRPr="00DA31EA">
        <w:rPr>
          <w:rFonts w:eastAsia="Calibri"/>
          <w:lang w:eastAsia="en-US"/>
        </w:rPr>
        <w:t xml:space="preserve">) </w:t>
      </w:r>
      <w:r w:rsidRPr="00DA31EA">
        <w:rPr>
          <w:rFonts w:eastAsia="Calibri"/>
          <w:lang w:eastAsia="en-US"/>
        </w:rPr>
        <w:t xml:space="preserve">najvećim dijelom čini novac na računu kod tuzemnih poslovnih banaka u iznosu od </w:t>
      </w:r>
      <w:r w:rsidR="00DA31EA" w:rsidRPr="00DA31EA">
        <w:rPr>
          <w:rFonts w:eastAsia="Calibri"/>
          <w:lang w:eastAsia="en-US"/>
        </w:rPr>
        <w:t>76.953.388,30</w:t>
      </w:r>
      <w:r w:rsidRPr="00DA31EA">
        <w:rPr>
          <w:rFonts w:eastAsia="Calibri"/>
          <w:lang w:eastAsia="en-US"/>
        </w:rPr>
        <w:t xml:space="preserve"> kn. </w:t>
      </w:r>
      <w:r w:rsidR="00DA31EA">
        <w:rPr>
          <w:rFonts w:eastAsia="Calibri"/>
          <w:lang w:eastAsia="en-US"/>
        </w:rPr>
        <w:t xml:space="preserve">Važno je napomenuti da se </w:t>
      </w:r>
      <w:r w:rsidR="003E6B4C">
        <w:rPr>
          <w:rFonts w:eastAsia="Calibri"/>
          <w:lang w:eastAsia="en-US"/>
        </w:rPr>
        <w:t xml:space="preserve">veći </w:t>
      </w:r>
      <w:r w:rsidR="00DA31EA">
        <w:rPr>
          <w:rFonts w:eastAsia="Calibri"/>
          <w:lang w:eastAsia="en-US"/>
        </w:rPr>
        <w:t xml:space="preserve">dio novca na žiro-računu </w:t>
      </w:r>
      <w:r w:rsidR="00A3185F">
        <w:rPr>
          <w:rFonts w:eastAsia="Calibri"/>
          <w:lang w:eastAsia="en-US"/>
        </w:rPr>
        <w:t xml:space="preserve">(59.388.762,01 kn) </w:t>
      </w:r>
      <w:r w:rsidR="00DA31EA">
        <w:rPr>
          <w:rFonts w:eastAsia="Calibri"/>
          <w:lang w:eastAsia="en-US"/>
        </w:rPr>
        <w:t>odnosi na zaprimljene novčane pologe</w:t>
      </w:r>
      <w:r w:rsidR="003E6B4C">
        <w:rPr>
          <w:rFonts w:eastAsia="Calibri"/>
          <w:lang w:eastAsia="en-US"/>
        </w:rPr>
        <w:t xml:space="preserve"> </w:t>
      </w:r>
      <w:r w:rsidR="003E6B4C" w:rsidRPr="003E6B4C">
        <w:rPr>
          <w:rFonts w:eastAsia="Calibri"/>
          <w:lang w:eastAsia="en-US"/>
        </w:rPr>
        <w:t>koji predstavljaju jamstva za ozbiljnost i valjanost sudjelovanja u postupku javne dražbe</w:t>
      </w:r>
      <w:r w:rsidR="003E6B4C">
        <w:rPr>
          <w:rFonts w:eastAsia="Calibri"/>
          <w:lang w:eastAsia="en-US"/>
        </w:rPr>
        <w:t xml:space="preserve"> (detaljnije objašnjeno u Bilješci 19.), zatim za</w:t>
      </w:r>
      <w:r w:rsidR="003E6B4C" w:rsidRPr="003E6B4C">
        <w:rPr>
          <w:rFonts w:eastAsia="Calibri"/>
          <w:lang w:eastAsia="en-US"/>
        </w:rPr>
        <w:t xml:space="preserve"> </w:t>
      </w:r>
      <w:r w:rsidR="003E6B4C">
        <w:rPr>
          <w:rFonts w:eastAsia="Calibri"/>
          <w:lang w:eastAsia="en-US"/>
        </w:rPr>
        <w:t>ozbiljnost ponude u postupcima javne nabave te kao jamstvo za uredno ispunjenje ugovora</w:t>
      </w:r>
      <w:r w:rsidR="00361739" w:rsidRPr="00DA31EA">
        <w:rPr>
          <w:rFonts w:eastAsia="Calibri"/>
          <w:lang w:eastAsia="en-US"/>
        </w:rPr>
        <w:t>.</w:t>
      </w:r>
      <w:r w:rsidR="00DA31EA">
        <w:rPr>
          <w:rFonts w:eastAsia="Calibri"/>
          <w:lang w:eastAsia="en-US"/>
        </w:rPr>
        <w:t xml:space="preserve"> </w:t>
      </w:r>
      <w:r w:rsidR="007764A3">
        <w:rPr>
          <w:rFonts w:eastAsia="Calibri"/>
          <w:lang w:eastAsia="en-US"/>
        </w:rPr>
        <w:t>Na</w:t>
      </w:r>
      <w:r w:rsidR="00726259">
        <w:rPr>
          <w:rFonts w:eastAsia="Calibri"/>
          <w:lang w:eastAsia="en-US"/>
        </w:rPr>
        <w:t>kon ispunjenja određenih uvjeta</w:t>
      </w:r>
      <w:r w:rsidR="007764A3">
        <w:rPr>
          <w:rFonts w:eastAsia="Calibri"/>
          <w:lang w:eastAsia="en-US"/>
        </w:rPr>
        <w:t xml:space="preserve"> novčani polozi će biti vraćeni ponuditeljima</w:t>
      </w:r>
      <w:r w:rsidR="007815B7">
        <w:rPr>
          <w:rFonts w:eastAsia="Calibri"/>
          <w:lang w:eastAsia="en-US"/>
        </w:rPr>
        <w:t xml:space="preserve"> odnosno </w:t>
      </w:r>
      <w:r w:rsidR="00BD3292">
        <w:rPr>
          <w:rFonts w:eastAsia="Calibri"/>
          <w:lang w:eastAsia="en-US"/>
        </w:rPr>
        <w:t xml:space="preserve">poslovnim </w:t>
      </w:r>
      <w:r w:rsidR="007815B7">
        <w:rPr>
          <w:rFonts w:eastAsia="Calibri"/>
          <w:lang w:eastAsia="en-US"/>
        </w:rPr>
        <w:t>subjektima s kojima su sklopljeni ugovori.</w:t>
      </w:r>
    </w:p>
    <w:p w14:paraId="693A5685" w14:textId="77777777" w:rsidR="005F1887" w:rsidRPr="00DD6846" w:rsidRDefault="005F1887" w:rsidP="00195F79">
      <w:pPr>
        <w:suppressAutoHyphens/>
        <w:spacing w:line="259" w:lineRule="auto"/>
        <w:jc w:val="both"/>
        <w:rPr>
          <w:rFonts w:eastAsia="Calibri"/>
          <w:lang w:eastAsia="en-US"/>
        </w:rPr>
      </w:pPr>
    </w:p>
    <w:p w14:paraId="0C0037B3" w14:textId="012EAAD2" w:rsidR="006D77A3" w:rsidRPr="00DD6846" w:rsidRDefault="006D77A3" w:rsidP="006D77A3">
      <w:pPr>
        <w:jc w:val="center"/>
      </w:pPr>
      <w:r w:rsidRPr="00DD6846">
        <w:t>Bilješka 1</w:t>
      </w:r>
      <w:r w:rsidR="00A34512" w:rsidRPr="00DD6846">
        <w:t>6</w:t>
      </w:r>
      <w:r w:rsidRPr="00DD6846">
        <w:t>.</w:t>
      </w:r>
    </w:p>
    <w:p w14:paraId="7E16247F" w14:textId="21343AE3" w:rsidR="005F1887" w:rsidRPr="00DD6846" w:rsidRDefault="00DD6846" w:rsidP="006D77A3">
      <w:pPr>
        <w:jc w:val="center"/>
      </w:pPr>
      <w:r w:rsidRPr="00DD6846">
        <w:t>12</w:t>
      </w:r>
      <w:r w:rsidR="006D77A3" w:rsidRPr="00DD6846">
        <w:t xml:space="preserve"> Depoziti, jamčevni polozi i potraživanja </w:t>
      </w:r>
    </w:p>
    <w:p w14:paraId="07689D6F" w14:textId="77777777" w:rsidR="00F22950" w:rsidRPr="00DD6846" w:rsidRDefault="006D77A3" w:rsidP="005F1887">
      <w:pPr>
        <w:jc w:val="center"/>
      </w:pPr>
      <w:r w:rsidRPr="00DD6846">
        <w:t>od zaposlenih te za više plaćene poreze i ostalo</w:t>
      </w:r>
    </w:p>
    <w:p w14:paraId="1A70F5BB" w14:textId="536C5642" w:rsidR="006D77A3" w:rsidRPr="00DD6846" w:rsidRDefault="006D77A3" w:rsidP="005F1887">
      <w:pPr>
        <w:jc w:val="center"/>
      </w:pPr>
      <w:r w:rsidRPr="00DD6846">
        <w:t xml:space="preserve"> </w:t>
      </w:r>
    </w:p>
    <w:p w14:paraId="5B42AF5B" w14:textId="7D66E660" w:rsidR="006D77A3" w:rsidRPr="00DD6846" w:rsidRDefault="0042243C" w:rsidP="00195F79">
      <w:pPr>
        <w:suppressAutoHyphens/>
        <w:spacing w:line="259" w:lineRule="auto"/>
        <w:jc w:val="both"/>
        <w:rPr>
          <w:rFonts w:eastAsia="Calibri"/>
          <w:lang w:eastAsia="en-US"/>
        </w:rPr>
      </w:pPr>
      <w:r w:rsidRPr="00DD6846">
        <w:rPr>
          <w:rFonts w:eastAsia="Calibri"/>
          <w:lang w:eastAsia="en-US"/>
        </w:rPr>
        <w:t xml:space="preserve">Jamčevni polozi dani zakupodavcu kao jamstvo za uredno plaćanje zakupa i zajedničkih troškova su </w:t>
      </w:r>
      <w:r w:rsidR="00FB4DBB">
        <w:rPr>
          <w:rFonts w:eastAsia="Calibri"/>
          <w:lang w:eastAsia="en-US"/>
        </w:rPr>
        <w:t>smanjeni jer je zakupodavac vratio HAKOM-u dio jamčevnog pologa u iznosu od 125.203,86 EUR</w:t>
      </w:r>
      <w:r w:rsidR="00913FBC">
        <w:rPr>
          <w:rFonts w:eastAsia="Calibri"/>
          <w:lang w:eastAsia="en-US"/>
        </w:rPr>
        <w:t>.</w:t>
      </w:r>
      <w:r w:rsidR="00FB4DBB">
        <w:rPr>
          <w:rFonts w:eastAsia="Calibri"/>
          <w:lang w:eastAsia="en-US"/>
        </w:rPr>
        <w:t xml:space="preserve"> </w:t>
      </w:r>
      <w:r w:rsidR="00913FBC">
        <w:rPr>
          <w:rFonts w:eastAsia="Calibri"/>
          <w:lang w:eastAsia="en-US"/>
        </w:rPr>
        <w:t>Naime,</w:t>
      </w:r>
      <w:r w:rsidR="00FB4DBB">
        <w:rPr>
          <w:rFonts w:eastAsia="Calibri"/>
          <w:lang w:eastAsia="en-US"/>
        </w:rPr>
        <w:t xml:space="preserve"> tijekom 2022. sklopljen </w:t>
      </w:r>
      <w:r w:rsidR="00913FBC">
        <w:rPr>
          <w:rFonts w:eastAsia="Calibri"/>
          <w:lang w:eastAsia="en-US"/>
        </w:rPr>
        <w:t xml:space="preserve">je </w:t>
      </w:r>
      <w:r w:rsidR="00FB4DBB">
        <w:rPr>
          <w:rFonts w:eastAsia="Calibri"/>
          <w:lang w:eastAsia="en-US"/>
        </w:rPr>
        <w:t xml:space="preserve">novi ugovor o zakupu kojim su ugovorene niže cijene zakupa, a time i manji iznos jamčevnog pologa kao osiguranja plaćanja. Jamčevni polozi su </w:t>
      </w:r>
      <w:r w:rsidRPr="00DD6846">
        <w:rPr>
          <w:rFonts w:eastAsia="Calibri"/>
          <w:lang w:eastAsia="en-US"/>
        </w:rPr>
        <w:t>svedeni na srednji tečaj Hrvatske narodne banke d.d. sa stanjem na dan 31. prosinca 202</w:t>
      </w:r>
      <w:r w:rsidR="003843DE">
        <w:rPr>
          <w:rFonts w:eastAsia="Calibri"/>
          <w:lang w:eastAsia="en-US"/>
        </w:rPr>
        <w:t>2</w:t>
      </w:r>
      <w:r w:rsidRPr="00DD6846">
        <w:rPr>
          <w:rFonts w:eastAsia="Calibri"/>
          <w:lang w:eastAsia="en-US"/>
        </w:rPr>
        <w:t>.</w:t>
      </w:r>
    </w:p>
    <w:p w14:paraId="66F3DD1C" w14:textId="27D40C59" w:rsidR="00AC1055" w:rsidRPr="00DD6846" w:rsidRDefault="00AC1055" w:rsidP="00195F79">
      <w:pPr>
        <w:suppressAutoHyphens/>
        <w:spacing w:line="259" w:lineRule="auto"/>
        <w:jc w:val="both"/>
        <w:rPr>
          <w:rFonts w:eastAsia="Calibri"/>
          <w:lang w:eastAsia="en-US"/>
        </w:rPr>
      </w:pPr>
      <w:r w:rsidRPr="00DD6846">
        <w:rPr>
          <w:rFonts w:eastAsia="Calibri"/>
          <w:lang w:eastAsia="en-US"/>
        </w:rPr>
        <w:t xml:space="preserve">Ostala potraživanja se odnose na potraživanja za naknade koje se refundiraju (HZZO) u iznosu od </w:t>
      </w:r>
      <w:r w:rsidR="00C85DB1">
        <w:rPr>
          <w:rFonts w:eastAsia="Calibri"/>
          <w:lang w:eastAsia="en-US"/>
        </w:rPr>
        <w:t>51.184,17 kn i na</w:t>
      </w:r>
      <w:r w:rsidRPr="00DD6846">
        <w:rPr>
          <w:rFonts w:eastAsia="Calibri"/>
          <w:lang w:eastAsia="en-US"/>
        </w:rPr>
        <w:t xml:space="preserve"> ostala nespomenuta potraživanja – Državni proračun </w:t>
      </w:r>
      <w:r w:rsidR="001954C9" w:rsidRPr="00DD6846">
        <w:rPr>
          <w:rFonts w:eastAsia="Calibri"/>
          <w:lang w:eastAsia="en-US"/>
        </w:rPr>
        <w:t xml:space="preserve">u iznosu od </w:t>
      </w:r>
      <w:r w:rsidR="00C85DB1">
        <w:rPr>
          <w:rFonts w:eastAsia="Calibri"/>
          <w:lang w:eastAsia="en-US"/>
        </w:rPr>
        <w:t>283.059,35</w:t>
      </w:r>
      <w:r w:rsidR="001954C9" w:rsidRPr="00DD6846">
        <w:rPr>
          <w:rFonts w:eastAsia="Calibri"/>
          <w:lang w:eastAsia="en-US"/>
        </w:rPr>
        <w:t xml:space="preserve"> kn koja se odnose na </w:t>
      </w:r>
      <w:r w:rsidR="00204A77" w:rsidRPr="00DD6846">
        <w:rPr>
          <w:rFonts w:eastAsia="Calibri"/>
          <w:lang w:eastAsia="en-US"/>
        </w:rPr>
        <w:t>duplo plaćen</w:t>
      </w:r>
      <w:r w:rsidR="001954C9" w:rsidRPr="00DD6846">
        <w:rPr>
          <w:rFonts w:eastAsia="Calibri"/>
          <w:lang w:eastAsia="en-US"/>
        </w:rPr>
        <w:t>e račune</w:t>
      </w:r>
      <w:r w:rsidR="00204A77" w:rsidRPr="00DD6846">
        <w:rPr>
          <w:rFonts w:eastAsia="Calibri"/>
          <w:lang w:eastAsia="en-US"/>
        </w:rPr>
        <w:t xml:space="preserve"> Državnog proračuna pri čemu se preplaćeni iznos na zahtjev vraća iz Državnog proračuna ili sredstva ostaju za podmirenje novih računa</w:t>
      </w:r>
      <w:r w:rsidRPr="00DD6846">
        <w:rPr>
          <w:rFonts w:eastAsia="Calibri"/>
          <w:lang w:eastAsia="en-US"/>
        </w:rPr>
        <w:t>.</w:t>
      </w:r>
    </w:p>
    <w:p w14:paraId="5DF283C4" w14:textId="77777777" w:rsidR="00E762E9" w:rsidRPr="0099311F" w:rsidRDefault="00E762E9" w:rsidP="00195F79">
      <w:pPr>
        <w:suppressAutoHyphens/>
        <w:spacing w:line="259" w:lineRule="auto"/>
        <w:jc w:val="both"/>
        <w:rPr>
          <w:rFonts w:eastAsia="Calibri"/>
          <w:highlight w:val="yellow"/>
          <w:lang w:eastAsia="en-US"/>
        </w:rPr>
      </w:pPr>
    </w:p>
    <w:p w14:paraId="284E1418" w14:textId="3D984294" w:rsidR="006D77A3" w:rsidRPr="006807D4" w:rsidRDefault="006D77A3" w:rsidP="006D77A3">
      <w:pPr>
        <w:suppressAutoHyphens/>
        <w:spacing w:line="259" w:lineRule="auto"/>
        <w:jc w:val="center"/>
        <w:rPr>
          <w:rFonts w:eastAsia="Calibri"/>
          <w:lang w:eastAsia="en-US"/>
        </w:rPr>
      </w:pPr>
      <w:r w:rsidRPr="006807D4">
        <w:rPr>
          <w:rFonts w:eastAsia="Calibri"/>
          <w:lang w:eastAsia="en-US"/>
        </w:rPr>
        <w:t>Bilješka 1</w:t>
      </w:r>
      <w:r w:rsidR="00A34512" w:rsidRPr="006807D4">
        <w:rPr>
          <w:rFonts w:eastAsia="Calibri"/>
          <w:lang w:eastAsia="en-US"/>
        </w:rPr>
        <w:t>7</w:t>
      </w:r>
      <w:r w:rsidRPr="006807D4">
        <w:rPr>
          <w:rFonts w:eastAsia="Calibri"/>
          <w:lang w:eastAsia="en-US"/>
        </w:rPr>
        <w:t>.</w:t>
      </w:r>
    </w:p>
    <w:p w14:paraId="57C3BD55" w14:textId="1025EA01" w:rsidR="006D77A3" w:rsidRPr="006807D4" w:rsidRDefault="006807D4" w:rsidP="006D77A3">
      <w:pPr>
        <w:suppressAutoHyphens/>
        <w:spacing w:line="259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16</w:t>
      </w:r>
      <w:r w:rsidR="006D77A3" w:rsidRPr="006807D4">
        <w:rPr>
          <w:rFonts w:eastAsia="Calibri"/>
          <w:lang w:eastAsia="en-US"/>
        </w:rPr>
        <w:t xml:space="preserve"> Potraživanja za prihode poslovanja</w:t>
      </w:r>
    </w:p>
    <w:p w14:paraId="7E35FEE2" w14:textId="77777777" w:rsidR="00F22950" w:rsidRPr="006807D4" w:rsidRDefault="00F22950" w:rsidP="006D77A3">
      <w:pPr>
        <w:suppressAutoHyphens/>
        <w:spacing w:line="259" w:lineRule="auto"/>
        <w:jc w:val="center"/>
        <w:rPr>
          <w:rFonts w:eastAsia="Calibri"/>
          <w:lang w:eastAsia="en-US"/>
        </w:rPr>
      </w:pPr>
    </w:p>
    <w:p w14:paraId="624CAC4B" w14:textId="6D484352" w:rsidR="001468AC" w:rsidRPr="006807D4" w:rsidRDefault="00E762E9" w:rsidP="00E762E9">
      <w:pPr>
        <w:suppressAutoHyphens/>
        <w:spacing w:line="259" w:lineRule="auto"/>
        <w:jc w:val="both"/>
        <w:rPr>
          <w:rFonts w:eastAsia="Calibri"/>
          <w:lang w:eastAsia="en-US"/>
        </w:rPr>
      </w:pPr>
      <w:r w:rsidRPr="006807D4">
        <w:rPr>
          <w:rFonts w:eastAsia="Calibri"/>
          <w:lang w:eastAsia="en-US"/>
        </w:rPr>
        <w:t xml:space="preserve">Potraživanja za prihode poslovanja iznose </w:t>
      </w:r>
      <w:r w:rsidR="000F548A">
        <w:rPr>
          <w:rFonts w:eastAsia="Calibri"/>
          <w:lang w:eastAsia="en-US"/>
        </w:rPr>
        <w:t>31.274.682,90</w:t>
      </w:r>
      <w:r w:rsidRPr="006807D4">
        <w:rPr>
          <w:rFonts w:eastAsia="Calibri"/>
          <w:lang w:eastAsia="en-US"/>
        </w:rPr>
        <w:t xml:space="preserve"> kn. Najznačajnija su potraživanja za</w:t>
      </w:r>
      <w:r w:rsidR="00CE1826" w:rsidRPr="006807D4">
        <w:rPr>
          <w:rFonts w:eastAsia="Calibri"/>
          <w:lang w:eastAsia="en-US"/>
        </w:rPr>
        <w:t xml:space="preserve"> prihode po posebnim propisima </w:t>
      </w:r>
      <w:r w:rsidR="00335567" w:rsidRPr="006807D4">
        <w:rPr>
          <w:rFonts w:eastAsia="Calibri"/>
          <w:lang w:eastAsia="en-US"/>
        </w:rPr>
        <w:t>koja se odnose na potraživanja za prihode od davatelja poštanskih usluga, od frekvencija, od adresa</w:t>
      </w:r>
      <w:r w:rsidR="000F548A">
        <w:rPr>
          <w:rFonts w:eastAsia="Calibri"/>
          <w:lang w:eastAsia="en-US"/>
        </w:rPr>
        <w:t xml:space="preserve"> i brojeva te tehničkog pregleda</w:t>
      </w:r>
      <w:r w:rsidR="00335567" w:rsidRPr="006807D4">
        <w:rPr>
          <w:rFonts w:eastAsia="Calibri"/>
          <w:lang w:eastAsia="en-US"/>
        </w:rPr>
        <w:t xml:space="preserve">. </w:t>
      </w:r>
    </w:p>
    <w:p w14:paraId="237AC3E4" w14:textId="7EBDE5E2" w:rsidR="001468AC" w:rsidRPr="006807D4" w:rsidRDefault="001468AC" w:rsidP="001468AC">
      <w:pPr>
        <w:suppressAutoHyphens/>
        <w:spacing w:line="259" w:lineRule="auto"/>
        <w:jc w:val="both"/>
        <w:rPr>
          <w:rFonts w:eastAsia="Calibri"/>
          <w:lang w:eastAsia="en-US"/>
        </w:rPr>
      </w:pPr>
      <w:r w:rsidRPr="006807D4">
        <w:rPr>
          <w:rFonts w:eastAsia="Calibri"/>
          <w:lang w:eastAsia="en-US"/>
        </w:rPr>
        <w:t xml:space="preserve">Povećanje potraživanja za prihode poslovanja rezultat je izmjene Pravilnika o plaćanju naknada za obavljanje poslova HAKOM-a kojim je uvedeno obročno plaćanje naknada (4 obroka) iznosa većeg od </w:t>
      </w:r>
      <w:r w:rsidR="0095723F">
        <w:rPr>
          <w:rFonts w:eastAsia="Calibri"/>
          <w:lang w:eastAsia="en-US"/>
        </w:rPr>
        <w:t xml:space="preserve">500.000,00 kn (u 2021. je prag za obročno plaćanje iznosio </w:t>
      </w:r>
      <w:r w:rsidRPr="006807D4">
        <w:rPr>
          <w:rFonts w:eastAsia="Calibri"/>
          <w:lang w:eastAsia="en-US"/>
        </w:rPr>
        <w:t>2 milijuna kuna</w:t>
      </w:r>
      <w:r w:rsidR="0095723F">
        <w:rPr>
          <w:rFonts w:eastAsia="Calibri"/>
          <w:lang w:eastAsia="en-US"/>
        </w:rPr>
        <w:t>)</w:t>
      </w:r>
      <w:r w:rsidRPr="006807D4">
        <w:rPr>
          <w:rFonts w:eastAsia="Calibri"/>
          <w:lang w:eastAsia="en-US"/>
        </w:rPr>
        <w:t xml:space="preserve"> čime je dio prihoda za račune izdane u 202</w:t>
      </w:r>
      <w:r w:rsidR="0095723F">
        <w:rPr>
          <w:rFonts w:eastAsia="Calibri"/>
          <w:lang w:eastAsia="en-US"/>
        </w:rPr>
        <w:t>2</w:t>
      </w:r>
      <w:r w:rsidRPr="006807D4">
        <w:rPr>
          <w:rFonts w:eastAsia="Calibri"/>
          <w:lang w:eastAsia="en-US"/>
        </w:rPr>
        <w:t>. naplaćen u 202</w:t>
      </w:r>
      <w:r w:rsidR="0095723F">
        <w:rPr>
          <w:rFonts w:eastAsia="Calibri"/>
          <w:lang w:eastAsia="en-US"/>
        </w:rPr>
        <w:t>2</w:t>
      </w:r>
      <w:r w:rsidRPr="006807D4">
        <w:rPr>
          <w:rFonts w:eastAsia="Calibri"/>
          <w:lang w:eastAsia="en-US"/>
        </w:rPr>
        <w:t>., a preostali dio će biti ostvaren u 202</w:t>
      </w:r>
      <w:r w:rsidR="0095723F">
        <w:rPr>
          <w:rFonts w:eastAsia="Calibri"/>
          <w:lang w:eastAsia="en-US"/>
        </w:rPr>
        <w:t>3</w:t>
      </w:r>
      <w:r w:rsidRPr="006807D4">
        <w:rPr>
          <w:rFonts w:eastAsia="Calibri"/>
          <w:lang w:eastAsia="en-US"/>
        </w:rPr>
        <w:t xml:space="preserve">. </w:t>
      </w:r>
    </w:p>
    <w:p w14:paraId="41B18956" w14:textId="1CC205CF" w:rsidR="006D77A3" w:rsidRPr="006807D4" w:rsidRDefault="00E762E9" w:rsidP="00E762E9">
      <w:pPr>
        <w:suppressAutoHyphens/>
        <w:spacing w:line="259" w:lineRule="auto"/>
        <w:jc w:val="both"/>
        <w:rPr>
          <w:rFonts w:eastAsia="Calibri"/>
          <w:lang w:eastAsia="en-US"/>
        </w:rPr>
      </w:pPr>
      <w:r w:rsidRPr="006807D4">
        <w:rPr>
          <w:rFonts w:eastAsia="Calibri"/>
          <w:lang w:eastAsia="en-US"/>
        </w:rPr>
        <w:t>Proveden je ispravak vrijednosti potraživanja sukladno Pravilniku o proračunskom računovodstvu i Računskom planu.</w:t>
      </w:r>
    </w:p>
    <w:p w14:paraId="5665B4FC" w14:textId="77777777" w:rsidR="006D77A3" w:rsidRPr="006807D4" w:rsidRDefault="006D77A3" w:rsidP="00195F79">
      <w:pPr>
        <w:suppressAutoHyphens/>
        <w:spacing w:line="259" w:lineRule="auto"/>
        <w:jc w:val="both"/>
        <w:rPr>
          <w:rFonts w:eastAsia="Calibri"/>
          <w:lang w:eastAsia="en-US"/>
        </w:rPr>
      </w:pPr>
    </w:p>
    <w:p w14:paraId="454FF4B4" w14:textId="2C13B5A8" w:rsidR="00195F79" w:rsidRPr="007606BE" w:rsidRDefault="00195F79" w:rsidP="00195F79">
      <w:pPr>
        <w:jc w:val="center"/>
      </w:pPr>
      <w:r w:rsidRPr="007606BE">
        <w:t>Bilješka 1</w:t>
      </w:r>
      <w:r w:rsidR="00A34512" w:rsidRPr="007606BE">
        <w:t>8</w:t>
      </w:r>
      <w:r w:rsidRPr="007606BE">
        <w:t>.</w:t>
      </w:r>
    </w:p>
    <w:p w14:paraId="00D00E51" w14:textId="152C602C" w:rsidR="00102D87" w:rsidRPr="007606BE" w:rsidRDefault="007606BE" w:rsidP="00195F79">
      <w:pPr>
        <w:jc w:val="center"/>
        <w:rPr>
          <w:rFonts w:eastAsia="Calibri"/>
          <w:lang w:eastAsia="en-US"/>
        </w:rPr>
      </w:pPr>
      <w:r>
        <w:t>19</w:t>
      </w:r>
      <w:r w:rsidR="00195F79" w:rsidRPr="007606BE">
        <w:t xml:space="preserve"> </w:t>
      </w:r>
      <w:r w:rsidR="00195F79" w:rsidRPr="007606BE">
        <w:rPr>
          <w:rFonts w:eastAsia="Calibri"/>
          <w:lang w:eastAsia="en-US"/>
        </w:rPr>
        <w:t>Rashodi budućih razdoblja i nedospjela naplata prihoda</w:t>
      </w:r>
    </w:p>
    <w:p w14:paraId="78802D4B" w14:textId="77777777" w:rsidR="00F22950" w:rsidRPr="0099311F" w:rsidRDefault="00F22950" w:rsidP="00195F79">
      <w:pPr>
        <w:jc w:val="center"/>
        <w:rPr>
          <w:highlight w:val="yellow"/>
        </w:rPr>
      </w:pPr>
    </w:p>
    <w:p w14:paraId="5EBCC641" w14:textId="7F97AA88" w:rsidR="00522B91" w:rsidRDefault="007D7B00" w:rsidP="00522B91">
      <w:pPr>
        <w:suppressAutoHyphens/>
        <w:spacing w:line="259" w:lineRule="auto"/>
        <w:jc w:val="both"/>
        <w:rPr>
          <w:rFonts w:eastAsia="Calibri"/>
          <w:lang w:eastAsia="en-US"/>
        </w:rPr>
      </w:pPr>
      <w:r w:rsidRPr="007606BE">
        <w:rPr>
          <w:rFonts w:eastAsia="Calibri"/>
          <w:lang w:eastAsia="en-US"/>
        </w:rPr>
        <w:t xml:space="preserve">Unaprijed plaćeni rashodi budućih razdoblja u iznosu od </w:t>
      </w:r>
      <w:r w:rsidR="007606BE" w:rsidRPr="007606BE">
        <w:rPr>
          <w:rFonts w:eastAsia="Calibri"/>
          <w:lang w:eastAsia="en-US"/>
        </w:rPr>
        <w:t>629.252,33</w:t>
      </w:r>
      <w:r w:rsidRPr="007606BE">
        <w:rPr>
          <w:rFonts w:eastAsia="Calibri"/>
          <w:lang w:eastAsia="en-US"/>
        </w:rPr>
        <w:t xml:space="preserve"> kn se odnose na </w:t>
      </w:r>
      <w:r w:rsidR="00A24401" w:rsidRPr="007606BE">
        <w:rPr>
          <w:rFonts w:eastAsia="Calibri"/>
          <w:lang w:eastAsia="en-US"/>
        </w:rPr>
        <w:t xml:space="preserve">licence, </w:t>
      </w:r>
      <w:r w:rsidR="005451A9" w:rsidRPr="007606BE">
        <w:rPr>
          <w:rFonts w:eastAsia="Calibri"/>
          <w:lang w:eastAsia="en-US"/>
        </w:rPr>
        <w:t xml:space="preserve">premiju osiguranja </w:t>
      </w:r>
      <w:r w:rsidR="00263E66" w:rsidRPr="007606BE">
        <w:rPr>
          <w:rFonts w:eastAsia="Calibri"/>
          <w:lang w:eastAsia="en-US"/>
        </w:rPr>
        <w:t>vozila</w:t>
      </w:r>
      <w:r w:rsidR="00A24401" w:rsidRPr="007606BE">
        <w:rPr>
          <w:rFonts w:eastAsia="Calibri"/>
          <w:lang w:eastAsia="en-US"/>
        </w:rPr>
        <w:t>, stručno usavršavanje zaposlenika</w:t>
      </w:r>
      <w:r w:rsidR="009C3D50">
        <w:rPr>
          <w:rFonts w:eastAsia="Calibri"/>
          <w:lang w:eastAsia="en-US"/>
        </w:rPr>
        <w:t>,</w:t>
      </w:r>
      <w:r w:rsidR="00A24401" w:rsidRPr="007606BE">
        <w:rPr>
          <w:rFonts w:eastAsia="Calibri"/>
          <w:lang w:eastAsia="en-US"/>
        </w:rPr>
        <w:t xml:space="preserve"> pretplatu na stručne časopise</w:t>
      </w:r>
      <w:r w:rsidR="009C3D50">
        <w:rPr>
          <w:rFonts w:eastAsia="Calibri"/>
          <w:lang w:eastAsia="en-US"/>
        </w:rPr>
        <w:t xml:space="preserve"> i dr.</w:t>
      </w:r>
    </w:p>
    <w:p w14:paraId="36A3908C" w14:textId="77777777" w:rsidR="00A44FA2" w:rsidRDefault="00A44FA2" w:rsidP="00522B91">
      <w:pPr>
        <w:suppressAutoHyphens/>
        <w:spacing w:line="259" w:lineRule="auto"/>
        <w:jc w:val="both"/>
        <w:rPr>
          <w:rFonts w:eastAsia="Calibri"/>
          <w:lang w:eastAsia="en-US"/>
        </w:rPr>
      </w:pPr>
    </w:p>
    <w:p w14:paraId="56291E5D" w14:textId="77777777" w:rsidR="0095723F" w:rsidRPr="00F35200" w:rsidRDefault="0095723F" w:rsidP="00522B91">
      <w:pPr>
        <w:suppressAutoHyphens/>
        <w:spacing w:line="259" w:lineRule="auto"/>
        <w:jc w:val="both"/>
        <w:rPr>
          <w:rFonts w:eastAsia="Calibri"/>
          <w:lang w:eastAsia="en-US"/>
        </w:rPr>
      </w:pPr>
    </w:p>
    <w:p w14:paraId="4D170B36" w14:textId="4D33A7C2" w:rsidR="00522B91" w:rsidRPr="003C4ACB" w:rsidRDefault="00522B91" w:rsidP="00522B91">
      <w:pPr>
        <w:jc w:val="center"/>
      </w:pPr>
      <w:r w:rsidRPr="003C4ACB">
        <w:lastRenderedPageBreak/>
        <w:t>Bilješka 1</w:t>
      </w:r>
      <w:r w:rsidR="00A34512" w:rsidRPr="003C4ACB">
        <w:t>9</w:t>
      </w:r>
      <w:r w:rsidRPr="003C4ACB">
        <w:t>.</w:t>
      </w:r>
    </w:p>
    <w:p w14:paraId="77E53E3A" w14:textId="5A643491" w:rsidR="00933F20" w:rsidRPr="003C4ACB" w:rsidRDefault="003C4ACB" w:rsidP="00933F20">
      <w:pPr>
        <w:suppressAutoHyphens/>
        <w:spacing w:line="259" w:lineRule="auto"/>
        <w:jc w:val="center"/>
        <w:rPr>
          <w:rFonts w:eastAsia="Calibri"/>
          <w:lang w:eastAsia="en-US"/>
        </w:rPr>
      </w:pPr>
      <w:r w:rsidRPr="003C4ACB">
        <w:t>2</w:t>
      </w:r>
      <w:r w:rsidR="00522B91" w:rsidRPr="003C4ACB">
        <w:t xml:space="preserve"> </w:t>
      </w:r>
      <w:r w:rsidR="00933F20" w:rsidRPr="003C4ACB">
        <w:rPr>
          <w:rFonts w:eastAsia="Calibri"/>
          <w:lang w:eastAsia="en-US"/>
        </w:rPr>
        <w:t>Obveze</w:t>
      </w:r>
    </w:p>
    <w:p w14:paraId="68568690" w14:textId="77777777" w:rsidR="00F22950" w:rsidRPr="0099311F" w:rsidRDefault="00F22950" w:rsidP="00933F20">
      <w:pPr>
        <w:suppressAutoHyphens/>
        <w:spacing w:line="259" w:lineRule="auto"/>
        <w:jc w:val="center"/>
        <w:rPr>
          <w:rFonts w:eastAsia="Calibri"/>
          <w:highlight w:val="yellow"/>
          <w:lang w:eastAsia="en-US"/>
        </w:rPr>
      </w:pPr>
    </w:p>
    <w:p w14:paraId="639804FB" w14:textId="51DC00D4" w:rsidR="00412AB8" w:rsidRDefault="00E53520" w:rsidP="00140EB5">
      <w:pPr>
        <w:suppressAutoHyphens/>
        <w:spacing w:line="259" w:lineRule="auto"/>
        <w:jc w:val="both"/>
        <w:rPr>
          <w:rFonts w:eastAsia="Calibri"/>
          <w:lang w:eastAsia="en-US"/>
        </w:rPr>
      </w:pPr>
      <w:r w:rsidRPr="003C4ACB">
        <w:rPr>
          <w:rFonts w:eastAsia="Calibri"/>
          <w:lang w:eastAsia="en-US"/>
        </w:rPr>
        <w:t xml:space="preserve">Ukupne obveze su iskazane u iznosu od </w:t>
      </w:r>
      <w:r w:rsidR="003C4ACB" w:rsidRPr="003C4ACB">
        <w:rPr>
          <w:rFonts w:eastAsia="Calibri"/>
          <w:lang w:eastAsia="en-US"/>
        </w:rPr>
        <w:t>64.579.987,57</w:t>
      </w:r>
      <w:r w:rsidRPr="003C4ACB">
        <w:rPr>
          <w:rFonts w:eastAsia="Calibri"/>
          <w:lang w:eastAsia="en-US"/>
        </w:rPr>
        <w:t xml:space="preserve"> kn. Najveći dio se odnosi na </w:t>
      </w:r>
      <w:r w:rsidR="00412AB8">
        <w:rPr>
          <w:rFonts w:eastAsia="Calibri"/>
          <w:lang w:eastAsia="en-US"/>
        </w:rPr>
        <w:t>o</w:t>
      </w:r>
      <w:r w:rsidR="00412AB8" w:rsidRPr="00412AB8">
        <w:rPr>
          <w:rFonts w:eastAsia="Calibri"/>
          <w:lang w:eastAsia="en-US"/>
        </w:rPr>
        <w:t>bveze za jamčevine (</w:t>
      </w:r>
      <w:r w:rsidR="006C7FF8">
        <w:rPr>
          <w:rFonts w:eastAsia="Calibri"/>
          <w:lang w:eastAsia="en-US"/>
        </w:rPr>
        <w:t>59.388.762,01</w:t>
      </w:r>
      <w:r w:rsidR="00412AB8" w:rsidRPr="00412AB8">
        <w:rPr>
          <w:rFonts w:eastAsia="Calibri"/>
          <w:lang w:eastAsia="en-US"/>
        </w:rPr>
        <w:t xml:space="preserve"> kn),</w:t>
      </w:r>
      <w:r w:rsidR="006C7FF8">
        <w:rPr>
          <w:rFonts w:eastAsia="Calibri"/>
          <w:lang w:eastAsia="en-US"/>
        </w:rPr>
        <w:t xml:space="preserve"> </w:t>
      </w:r>
      <w:r w:rsidRPr="003C4ACB">
        <w:rPr>
          <w:rFonts w:eastAsia="Calibri"/>
          <w:lang w:eastAsia="en-US"/>
        </w:rPr>
        <w:t xml:space="preserve">obveze za zaposlene </w:t>
      </w:r>
      <w:r w:rsidR="00E82006" w:rsidRPr="003C4ACB">
        <w:rPr>
          <w:rFonts w:eastAsia="Calibri"/>
          <w:lang w:eastAsia="en-US"/>
        </w:rPr>
        <w:t>(plaća za prosinac 202</w:t>
      </w:r>
      <w:r w:rsidR="006C7FF8">
        <w:rPr>
          <w:rFonts w:eastAsia="Calibri"/>
          <w:lang w:eastAsia="en-US"/>
        </w:rPr>
        <w:t>2</w:t>
      </w:r>
      <w:r w:rsidR="00E82006" w:rsidRPr="003C4ACB">
        <w:rPr>
          <w:rFonts w:eastAsia="Calibri"/>
          <w:lang w:eastAsia="en-US"/>
        </w:rPr>
        <w:t xml:space="preserve">.) </w:t>
      </w:r>
      <w:r w:rsidRPr="003C4ACB">
        <w:rPr>
          <w:rFonts w:eastAsia="Calibri"/>
          <w:lang w:eastAsia="en-US"/>
        </w:rPr>
        <w:t>i za materijalne rashode</w:t>
      </w:r>
      <w:r w:rsidR="006C7FF8">
        <w:rPr>
          <w:rFonts w:eastAsia="Calibri"/>
          <w:lang w:eastAsia="en-US"/>
        </w:rPr>
        <w:t>.</w:t>
      </w:r>
      <w:r w:rsidRPr="003C4ACB">
        <w:rPr>
          <w:rFonts w:eastAsia="Calibri"/>
          <w:lang w:eastAsia="en-US"/>
        </w:rPr>
        <w:t xml:space="preserve"> </w:t>
      </w:r>
    </w:p>
    <w:p w14:paraId="19120FE2" w14:textId="77777777" w:rsidR="007E4610" w:rsidRDefault="007E4610" w:rsidP="00140EB5">
      <w:pPr>
        <w:suppressAutoHyphens/>
        <w:spacing w:line="259" w:lineRule="auto"/>
        <w:jc w:val="both"/>
        <w:rPr>
          <w:rFonts w:eastAsia="Calibri"/>
          <w:lang w:eastAsia="en-US"/>
        </w:rPr>
      </w:pPr>
    </w:p>
    <w:p w14:paraId="4E1614E0" w14:textId="3C5268FA" w:rsidR="004054AE" w:rsidRDefault="007E4610" w:rsidP="00140EB5">
      <w:pPr>
        <w:suppressAutoHyphens/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Najveći udio u obvezama za jamčevine se odnosi na </w:t>
      </w:r>
      <w:r w:rsidR="00412AB8" w:rsidRPr="00412AB8">
        <w:rPr>
          <w:rFonts w:eastAsia="Calibri"/>
          <w:lang w:eastAsia="en-US"/>
        </w:rPr>
        <w:t>obveze za zaprimljene novčane pologe koji predstavljaju jamstva za ozbiljnost i valjanost sudjelovanja u postupku javne dražbe</w:t>
      </w:r>
      <w:r w:rsidR="000E5DA5">
        <w:rPr>
          <w:rFonts w:eastAsia="Calibri"/>
          <w:lang w:eastAsia="en-US"/>
        </w:rPr>
        <w:t>,</w:t>
      </w:r>
      <w:r w:rsidR="00412AB8" w:rsidRPr="00412AB8">
        <w:rPr>
          <w:rFonts w:eastAsia="Calibri"/>
          <w:lang w:eastAsia="en-US"/>
        </w:rPr>
        <w:t xml:space="preserve"> </w:t>
      </w:r>
      <w:r w:rsidR="000E5DA5">
        <w:rPr>
          <w:rFonts w:eastAsia="Calibri"/>
          <w:lang w:eastAsia="en-US"/>
        </w:rPr>
        <w:t>koju je pokrenuo HAKOM,</w:t>
      </w:r>
      <w:r w:rsidR="000E5DA5" w:rsidRPr="00412AB8">
        <w:rPr>
          <w:rFonts w:eastAsia="Calibri"/>
          <w:lang w:eastAsia="en-US"/>
        </w:rPr>
        <w:t xml:space="preserve"> </w:t>
      </w:r>
      <w:r w:rsidR="00412AB8" w:rsidRPr="00412AB8">
        <w:rPr>
          <w:rFonts w:eastAsia="Calibri"/>
          <w:lang w:eastAsia="en-US"/>
        </w:rPr>
        <w:t>s elektroničkim oblikom nadmetanja za dodjelu radiofrekvencijskog spektra u frekvencijskim pojasevima 800 MHz, 900 MHz, 1800 MHz, 2100 MHz, 2600 MHz i 3600 MHz</w:t>
      </w:r>
      <w:r>
        <w:rPr>
          <w:rFonts w:eastAsia="Calibri"/>
          <w:lang w:eastAsia="en-US"/>
        </w:rPr>
        <w:t xml:space="preserve">. </w:t>
      </w:r>
      <w:r w:rsidR="004054AE">
        <w:rPr>
          <w:rFonts w:eastAsia="Calibri"/>
          <w:lang w:eastAsia="en-US"/>
        </w:rPr>
        <w:t>I</w:t>
      </w:r>
      <w:r w:rsidR="004054AE" w:rsidRPr="004054AE">
        <w:rPr>
          <w:rFonts w:eastAsia="Calibri"/>
          <w:lang w:eastAsia="en-US"/>
        </w:rPr>
        <w:t xml:space="preserve">znos </w:t>
      </w:r>
      <w:r w:rsidR="004054AE">
        <w:rPr>
          <w:rFonts w:eastAsia="Calibri"/>
          <w:lang w:eastAsia="en-US"/>
        </w:rPr>
        <w:t xml:space="preserve">jamstva </w:t>
      </w:r>
      <w:r w:rsidR="004054AE" w:rsidRPr="004054AE">
        <w:rPr>
          <w:rFonts w:eastAsia="Calibri"/>
          <w:lang w:eastAsia="en-US"/>
        </w:rPr>
        <w:t>ovisi</w:t>
      </w:r>
      <w:r w:rsidR="000E5DA5">
        <w:rPr>
          <w:rFonts w:eastAsia="Calibri"/>
          <w:lang w:eastAsia="en-US"/>
        </w:rPr>
        <w:t>o je</w:t>
      </w:r>
      <w:r w:rsidR="004054AE" w:rsidRPr="004054AE">
        <w:rPr>
          <w:rFonts w:eastAsia="Calibri"/>
          <w:lang w:eastAsia="en-US"/>
        </w:rPr>
        <w:t xml:space="preserve"> o frekvencijskom pojasu i zemljopisnom području za koje se podnositelj javlja</w:t>
      </w:r>
      <w:r w:rsidR="004054AE">
        <w:rPr>
          <w:rFonts w:eastAsia="Calibri"/>
          <w:lang w:eastAsia="en-US"/>
        </w:rPr>
        <w:t xml:space="preserve">. Novčani polozi u ukupnom iznosu od </w:t>
      </w:r>
      <w:r w:rsidR="004054AE" w:rsidRPr="004054AE">
        <w:rPr>
          <w:rFonts w:eastAsia="Calibri"/>
          <w:lang w:eastAsia="en-US"/>
        </w:rPr>
        <w:t>58.926.571,60</w:t>
      </w:r>
      <w:r w:rsidR="004054AE">
        <w:rPr>
          <w:rFonts w:eastAsia="Calibri"/>
          <w:lang w:eastAsia="en-US"/>
        </w:rPr>
        <w:t xml:space="preserve"> kn su zaprimljeni u listopadu i studenom 2022. od strane dva ponuditelja.</w:t>
      </w:r>
    </w:p>
    <w:p w14:paraId="74510761" w14:textId="77777777" w:rsidR="004054AE" w:rsidRPr="004054AE" w:rsidRDefault="004054AE" w:rsidP="00140EB5">
      <w:pPr>
        <w:suppressAutoHyphens/>
        <w:spacing w:line="259" w:lineRule="auto"/>
        <w:jc w:val="both"/>
        <w:rPr>
          <w:rFonts w:eastAsia="Calibri"/>
          <w:lang w:eastAsia="en-US"/>
        </w:rPr>
      </w:pPr>
    </w:p>
    <w:p w14:paraId="0B60439D" w14:textId="2BDD913F" w:rsidR="0004545D" w:rsidRPr="00972945" w:rsidRDefault="006E189A" w:rsidP="006E189A">
      <w:pPr>
        <w:suppressAutoHyphens/>
        <w:spacing w:line="259" w:lineRule="auto"/>
        <w:jc w:val="center"/>
        <w:rPr>
          <w:rFonts w:eastAsia="Calibri"/>
          <w:lang w:eastAsia="en-US"/>
        </w:rPr>
      </w:pPr>
      <w:r w:rsidRPr="00972945">
        <w:rPr>
          <w:rFonts w:eastAsia="Calibri"/>
          <w:lang w:eastAsia="en-US"/>
        </w:rPr>
        <w:t xml:space="preserve">Bilješka </w:t>
      </w:r>
      <w:r w:rsidR="00A34512" w:rsidRPr="00972945">
        <w:rPr>
          <w:rFonts w:eastAsia="Calibri"/>
          <w:lang w:eastAsia="en-US"/>
        </w:rPr>
        <w:t>20</w:t>
      </w:r>
      <w:r w:rsidRPr="00972945">
        <w:rPr>
          <w:rFonts w:eastAsia="Calibri"/>
          <w:lang w:eastAsia="en-US"/>
        </w:rPr>
        <w:t>.</w:t>
      </w:r>
    </w:p>
    <w:p w14:paraId="2C3228E2" w14:textId="77B49503" w:rsidR="006E189A" w:rsidRPr="00972945" w:rsidRDefault="00972945" w:rsidP="006E189A">
      <w:pPr>
        <w:suppressAutoHyphens/>
        <w:spacing w:line="259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9</w:t>
      </w:r>
      <w:r w:rsidR="00E965C0" w:rsidRPr="00972945">
        <w:rPr>
          <w:rFonts w:eastAsia="Calibri"/>
          <w:lang w:eastAsia="en-US"/>
        </w:rPr>
        <w:t xml:space="preserve"> Vlastiti izvori</w:t>
      </w:r>
    </w:p>
    <w:p w14:paraId="5A7526F1" w14:textId="77777777" w:rsidR="00F22950" w:rsidRPr="0099311F" w:rsidRDefault="00F22950" w:rsidP="006E189A">
      <w:pPr>
        <w:suppressAutoHyphens/>
        <w:spacing w:line="259" w:lineRule="auto"/>
        <w:jc w:val="center"/>
        <w:rPr>
          <w:rFonts w:eastAsia="Calibri"/>
          <w:highlight w:val="yellow"/>
          <w:lang w:eastAsia="en-US"/>
        </w:rPr>
      </w:pPr>
    </w:p>
    <w:p w14:paraId="1EC662AA" w14:textId="34A0447F" w:rsidR="00E53520" w:rsidRDefault="00E965C0" w:rsidP="00055961">
      <w:pPr>
        <w:suppressAutoHyphens/>
        <w:spacing w:line="259" w:lineRule="auto"/>
        <w:jc w:val="both"/>
        <w:rPr>
          <w:rFonts w:eastAsia="Calibri"/>
          <w:lang w:eastAsia="en-US"/>
        </w:rPr>
      </w:pPr>
      <w:r w:rsidRPr="006777D2">
        <w:rPr>
          <w:rFonts w:eastAsia="Calibri"/>
          <w:lang w:eastAsia="en-US"/>
        </w:rPr>
        <w:t xml:space="preserve">Napravljena je </w:t>
      </w:r>
      <w:r w:rsidR="009767D9" w:rsidRPr="006777D2">
        <w:rPr>
          <w:rFonts w:eastAsia="Calibri"/>
          <w:lang w:eastAsia="en-US"/>
        </w:rPr>
        <w:t xml:space="preserve">obvezna </w:t>
      </w:r>
      <w:r w:rsidRPr="006777D2">
        <w:rPr>
          <w:rFonts w:eastAsia="Calibri"/>
          <w:lang w:eastAsia="en-US"/>
        </w:rPr>
        <w:t>korekcija rezultata te je u</w:t>
      </w:r>
      <w:r w:rsidR="00E53520" w:rsidRPr="006777D2">
        <w:rPr>
          <w:rFonts w:eastAsia="Calibri"/>
          <w:lang w:eastAsia="en-US"/>
        </w:rPr>
        <w:t xml:space="preserve"> 20</w:t>
      </w:r>
      <w:r w:rsidRPr="006777D2">
        <w:rPr>
          <w:rFonts w:eastAsia="Calibri"/>
          <w:lang w:eastAsia="en-US"/>
        </w:rPr>
        <w:t>2</w:t>
      </w:r>
      <w:r w:rsidR="006777D2">
        <w:rPr>
          <w:rFonts w:eastAsia="Calibri"/>
          <w:lang w:eastAsia="en-US"/>
        </w:rPr>
        <w:t>2</w:t>
      </w:r>
      <w:r w:rsidR="00E53520" w:rsidRPr="006777D2">
        <w:rPr>
          <w:rFonts w:eastAsia="Calibri"/>
          <w:lang w:eastAsia="en-US"/>
        </w:rPr>
        <w:t>. o</w:t>
      </w:r>
      <w:r w:rsidR="0068193A" w:rsidRPr="006777D2">
        <w:rPr>
          <w:rFonts w:eastAsia="Calibri"/>
          <w:lang w:eastAsia="en-US"/>
        </w:rPr>
        <w:t>stvaren</w:t>
      </w:r>
      <w:r w:rsidR="00E53520" w:rsidRPr="006777D2">
        <w:rPr>
          <w:rFonts w:eastAsia="Calibri"/>
          <w:lang w:eastAsia="en-US"/>
        </w:rPr>
        <w:t xml:space="preserve"> </w:t>
      </w:r>
      <w:r w:rsidR="006777D2">
        <w:rPr>
          <w:rFonts w:eastAsia="Calibri"/>
          <w:lang w:eastAsia="en-US"/>
        </w:rPr>
        <w:t>manjak</w:t>
      </w:r>
      <w:r w:rsidR="00E53520" w:rsidRPr="006777D2">
        <w:rPr>
          <w:rFonts w:eastAsia="Calibri"/>
          <w:lang w:eastAsia="en-US"/>
        </w:rPr>
        <w:t xml:space="preserve"> prihoda poslovanja u iznosu od </w:t>
      </w:r>
      <w:r w:rsidR="00D256A6">
        <w:rPr>
          <w:rFonts w:eastAsia="Calibri"/>
          <w:lang w:eastAsia="en-US"/>
        </w:rPr>
        <w:t>19.050.243,28</w:t>
      </w:r>
      <w:r w:rsidR="00DC50E5" w:rsidRPr="006777D2">
        <w:rPr>
          <w:rFonts w:eastAsia="Calibri"/>
          <w:lang w:eastAsia="en-US"/>
        </w:rPr>
        <w:t xml:space="preserve"> kn i</w:t>
      </w:r>
      <w:r w:rsidR="00E53520" w:rsidRPr="006777D2">
        <w:rPr>
          <w:rFonts w:eastAsia="Calibri"/>
          <w:lang w:eastAsia="en-US"/>
        </w:rPr>
        <w:t xml:space="preserve"> manjak prihoda od nefinancijske imovine u iznosu od </w:t>
      </w:r>
      <w:r w:rsidR="006777D2" w:rsidRPr="006777D2">
        <w:rPr>
          <w:rFonts w:eastAsia="Calibri"/>
          <w:lang w:eastAsia="en-US"/>
        </w:rPr>
        <w:t>10.429.684,95</w:t>
      </w:r>
      <w:r w:rsidR="00E53520" w:rsidRPr="006777D2">
        <w:rPr>
          <w:rFonts w:eastAsia="Calibri"/>
          <w:lang w:eastAsia="en-US"/>
        </w:rPr>
        <w:t xml:space="preserve"> kn. Preneseni višak prihoda iz prethodnih godina iznosio je </w:t>
      </w:r>
      <w:r w:rsidR="006777D2" w:rsidRPr="006777D2">
        <w:rPr>
          <w:rFonts w:eastAsia="Calibri"/>
          <w:lang w:eastAsia="en-US"/>
        </w:rPr>
        <w:t>44.319.205,67</w:t>
      </w:r>
      <w:r w:rsidR="00E53520" w:rsidRPr="006777D2">
        <w:rPr>
          <w:rFonts w:eastAsia="Calibri"/>
          <w:lang w:eastAsia="en-US"/>
        </w:rPr>
        <w:t xml:space="preserve"> kn.</w:t>
      </w:r>
    </w:p>
    <w:p w14:paraId="0015B0CF" w14:textId="77777777" w:rsidR="005C4E9F" w:rsidRDefault="005C4E9F" w:rsidP="00055961">
      <w:pPr>
        <w:suppressAutoHyphens/>
        <w:spacing w:line="259" w:lineRule="auto"/>
        <w:jc w:val="both"/>
        <w:rPr>
          <w:rFonts w:eastAsia="Calibri"/>
          <w:lang w:eastAsia="en-US"/>
        </w:rPr>
      </w:pPr>
    </w:p>
    <w:p w14:paraId="5B2CA4DA" w14:textId="67BFBA29" w:rsidR="005C4E9F" w:rsidRPr="006777D2" w:rsidRDefault="005C4E9F" w:rsidP="00055961">
      <w:pPr>
        <w:suppressAutoHyphens/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Obračunati prihodi poslovanja (</w:t>
      </w:r>
      <w:r w:rsidR="006C449C">
        <w:rPr>
          <w:rFonts w:eastAsia="Calibri"/>
          <w:lang w:eastAsia="en-US"/>
        </w:rPr>
        <w:t xml:space="preserve">šifra </w:t>
      </w:r>
      <w:r>
        <w:rPr>
          <w:rFonts w:eastAsia="Calibri"/>
          <w:lang w:eastAsia="en-US"/>
        </w:rPr>
        <w:t xml:space="preserve">96) iznose </w:t>
      </w:r>
      <w:r w:rsidRPr="005C4E9F">
        <w:rPr>
          <w:rFonts w:eastAsia="Calibri"/>
          <w:lang w:eastAsia="en-US"/>
        </w:rPr>
        <w:t>31.278.834,81</w:t>
      </w:r>
      <w:r>
        <w:rPr>
          <w:rFonts w:eastAsia="Calibri"/>
          <w:lang w:eastAsia="en-US"/>
        </w:rPr>
        <w:t xml:space="preserve"> kn te su se povećali za 14,3% u odnosu na </w:t>
      </w:r>
      <w:r w:rsidR="00E54359">
        <w:rPr>
          <w:rFonts w:eastAsia="Calibri"/>
          <w:lang w:eastAsia="en-US"/>
        </w:rPr>
        <w:t>stanje 31. prosinca 2021.</w:t>
      </w:r>
    </w:p>
    <w:p w14:paraId="28DD9AEB" w14:textId="77777777" w:rsidR="00055961" w:rsidRPr="0099311F" w:rsidRDefault="00055961" w:rsidP="00140EB5">
      <w:pPr>
        <w:suppressAutoHyphens/>
        <w:spacing w:line="259" w:lineRule="auto"/>
        <w:jc w:val="center"/>
        <w:rPr>
          <w:rFonts w:eastAsia="Calibri"/>
          <w:highlight w:val="yellow"/>
          <w:lang w:eastAsia="en-US"/>
        </w:rPr>
      </w:pPr>
    </w:p>
    <w:p w14:paraId="7D41ED21" w14:textId="745896B7" w:rsidR="00202D22" w:rsidRPr="0099311F" w:rsidRDefault="00202D22" w:rsidP="00202D22">
      <w:pPr>
        <w:suppressAutoHyphens/>
        <w:spacing w:line="259" w:lineRule="auto"/>
        <w:jc w:val="center"/>
        <w:rPr>
          <w:rFonts w:eastAsia="Calibri"/>
          <w:lang w:eastAsia="en-US"/>
        </w:rPr>
      </w:pPr>
      <w:r w:rsidRPr="0099311F">
        <w:rPr>
          <w:rFonts w:eastAsia="Calibri"/>
          <w:lang w:eastAsia="en-US"/>
        </w:rPr>
        <w:t>B</w:t>
      </w:r>
      <w:r w:rsidR="00055961" w:rsidRPr="0099311F">
        <w:rPr>
          <w:rFonts w:eastAsia="Calibri"/>
          <w:lang w:eastAsia="en-US"/>
        </w:rPr>
        <w:t xml:space="preserve">ilješka </w:t>
      </w:r>
      <w:r w:rsidR="00A357C6" w:rsidRPr="0099311F">
        <w:rPr>
          <w:rFonts w:eastAsia="Calibri"/>
          <w:lang w:eastAsia="en-US"/>
        </w:rPr>
        <w:t>2</w:t>
      </w:r>
      <w:r w:rsidR="00A34512" w:rsidRPr="0099311F">
        <w:rPr>
          <w:rFonts w:eastAsia="Calibri"/>
          <w:lang w:eastAsia="en-US"/>
        </w:rPr>
        <w:t>1</w:t>
      </w:r>
      <w:r w:rsidRPr="0099311F">
        <w:rPr>
          <w:rFonts w:eastAsia="Calibri"/>
          <w:lang w:eastAsia="en-US"/>
        </w:rPr>
        <w:t>.</w:t>
      </w:r>
    </w:p>
    <w:p w14:paraId="082D0B6A" w14:textId="653B1539" w:rsidR="00E53520" w:rsidRPr="0099311F" w:rsidRDefault="0099311F" w:rsidP="00202D22">
      <w:pPr>
        <w:suppressAutoHyphens/>
        <w:spacing w:line="259" w:lineRule="auto"/>
        <w:jc w:val="center"/>
        <w:rPr>
          <w:rFonts w:eastAsia="Calibri"/>
          <w:lang w:eastAsia="en-US"/>
        </w:rPr>
      </w:pPr>
      <w:r w:rsidRPr="0099311F">
        <w:rPr>
          <w:rFonts w:eastAsia="Calibri"/>
          <w:lang w:eastAsia="en-US"/>
        </w:rPr>
        <w:t>991/996</w:t>
      </w:r>
      <w:r w:rsidR="00202D22" w:rsidRPr="0099311F">
        <w:rPr>
          <w:rFonts w:eastAsia="Calibri"/>
          <w:lang w:eastAsia="en-US"/>
        </w:rPr>
        <w:t xml:space="preserve"> Izvanbilančni zapisi</w:t>
      </w:r>
    </w:p>
    <w:p w14:paraId="5B63C337" w14:textId="77777777" w:rsidR="00F22950" w:rsidRPr="0099311F" w:rsidRDefault="00F22950" w:rsidP="00202D22">
      <w:pPr>
        <w:suppressAutoHyphens/>
        <w:spacing w:line="259" w:lineRule="auto"/>
        <w:jc w:val="center"/>
        <w:rPr>
          <w:rFonts w:eastAsia="Calibri"/>
          <w:lang w:eastAsia="en-US"/>
        </w:rPr>
      </w:pPr>
    </w:p>
    <w:p w14:paraId="3BC3D1E0" w14:textId="445EB703" w:rsidR="00E53520" w:rsidRPr="0099311F" w:rsidRDefault="00E53520" w:rsidP="00202D22">
      <w:pPr>
        <w:suppressAutoHyphens/>
        <w:spacing w:line="259" w:lineRule="auto"/>
        <w:jc w:val="both"/>
        <w:rPr>
          <w:rFonts w:eastAsia="Calibri"/>
          <w:lang w:eastAsia="en-US"/>
        </w:rPr>
      </w:pPr>
      <w:r w:rsidRPr="0099311F">
        <w:rPr>
          <w:rFonts w:eastAsia="Calibri"/>
          <w:lang w:eastAsia="en-US"/>
        </w:rPr>
        <w:t xml:space="preserve">U izvanbilančnoj evidenciji u iznosu od </w:t>
      </w:r>
      <w:r w:rsidR="00E176A4" w:rsidRPr="00E176A4">
        <w:rPr>
          <w:rFonts w:eastAsia="Calibri"/>
          <w:lang w:eastAsia="en-US"/>
        </w:rPr>
        <w:t>16.567.462,95</w:t>
      </w:r>
      <w:r w:rsidRPr="0099311F">
        <w:rPr>
          <w:rFonts w:eastAsia="Calibri"/>
          <w:lang w:eastAsia="en-US"/>
        </w:rPr>
        <w:t xml:space="preserve"> kn je evidentirano sljedeće:</w:t>
      </w:r>
    </w:p>
    <w:p w14:paraId="6257481A" w14:textId="148FDD0D" w:rsidR="00E53520" w:rsidRPr="0099311F" w:rsidRDefault="00E53520" w:rsidP="00765629">
      <w:pPr>
        <w:pStyle w:val="ListParagraph"/>
        <w:numPr>
          <w:ilvl w:val="0"/>
          <w:numId w:val="13"/>
        </w:numPr>
        <w:suppressAutoHyphens/>
        <w:spacing w:after="160" w:line="259" w:lineRule="auto"/>
        <w:jc w:val="both"/>
        <w:rPr>
          <w:rFonts w:eastAsia="Calibri"/>
          <w:lang w:eastAsia="en-US"/>
        </w:rPr>
      </w:pPr>
      <w:r w:rsidRPr="0099311F">
        <w:rPr>
          <w:rFonts w:eastAsia="Calibri"/>
          <w:lang w:eastAsia="en-US"/>
        </w:rPr>
        <w:t xml:space="preserve">tuđa imovina dobivena na korištenje u iznosu od </w:t>
      </w:r>
      <w:r w:rsidR="00E176A4" w:rsidRPr="00E176A4">
        <w:rPr>
          <w:rFonts w:eastAsia="Calibri"/>
          <w:lang w:eastAsia="en-US"/>
        </w:rPr>
        <w:t>7.723.091,64</w:t>
      </w:r>
      <w:r w:rsidRPr="0099311F">
        <w:rPr>
          <w:rFonts w:eastAsia="Calibri"/>
          <w:lang w:eastAsia="en-US"/>
        </w:rPr>
        <w:t xml:space="preserve"> kn</w:t>
      </w:r>
      <w:r w:rsidR="00A60256">
        <w:rPr>
          <w:rFonts w:eastAsia="Calibri"/>
          <w:lang w:eastAsia="en-US"/>
        </w:rPr>
        <w:t xml:space="preserve"> (</w:t>
      </w:r>
      <w:r w:rsidR="00765629" w:rsidRPr="00765629">
        <w:rPr>
          <w:rFonts w:eastAsia="Calibri"/>
          <w:lang w:eastAsia="en-US"/>
        </w:rPr>
        <w:t>objekti u zakupu</w:t>
      </w:r>
      <w:r w:rsidR="00A60256">
        <w:rPr>
          <w:rFonts w:eastAsia="Calibri"/>
          <w:lang w:eastAsia="en-US"/>
        </w:rPr>
        <w:t xml:space="preserve"> </w:t>
      </w:r>
      <w:r w:rsidR="00765629">
        <w:rPr>
          <w:rFonts w:eastAsia="Calibri"/>
          <w:lang w:eastAsia="en-US"/>
        </w:rPr>
        <w:t xml:space="preserve">- </w:t>
      </w:r>
      <w:r w:rsidR="00D56DE3">
        <w:rPr>
          <w:rFonts w:eastAsia="Calibri"/>
          <w:lang w:eastAsia="en-US"/>
        </w:rPr>
        <w:t>Sky-</w:t>
      </w:r>
      <w:proofErr w:type="spellStart"/>
      <w:r w:rsidR="00D56DE3">
        <w:rPr>
          <w:rFonts w:eastAsia="Calibri"/>
          <w:lang w:eastAsia="en-US"/>
        </w:rPr>
        <w:t>office</w:t>
      </w:r>
      <w:proofErr w:type="spellEnd"/>
      <w:r w:rsidR="00A60256">
        <w:rPr>
          <w:rFonts w:eastAsia="Calibri"/>
          <w:lang w:eastAsia="en-US"/>
        </w:rPr>
        <w:t xml:space="preserve">, </w:t>
      </w:r>
      <w:r w:rsidR="00765629">
        <w:rPr>
          <w:rFonts w:eastAsia="Calibri"/>
          <w:lang w:eastAsia="en-US"/>
        </w:rPr>
        <w:t>Sljeme,</w:t>
      </w:r>
      <w:r w:rsidR="00A60256">
        <w:rPr>
          <w:rFonts w:eastAsia="Calibri"/>
          <w:lang w:eastAsia="en-US"/>
        </w:rPr>
        <w:t xml:space="preserve"> </w:t>
      </w:r>
      <w:proofErr w:type="spellStart"/>
      <w:r w:rsidR="00A60256">
        <w:rPr>
          <w:rFonts w:eastAsia="Calibri"/>
          <w:lang w:eastAsia="en-US"/>
        </w:rPr>
        <w:t>Labinštica</w:t>
      </w:r>
      <w:proofErr w:type="spellEnd"/>
      <w:r w:rsidR="00A60256">
        <w:rPr>
          <w:rFonts w:eastAsia="Calibri"/>
          <w:lang w:eastAsia="en-US"/>
        </w:rPr>
        <w:t xml:space="preserve">, </w:t>
      </w:r>
      <w:r w:rsidR="00A60256" w:rsidRPr="00A60256">
        <w:rPr>
          <w:rFonts w:eastAsia="Calibri"/>
          <w:lang w:eastAsia="en-US"/>
        </w:rPr>
        <w:t xml:space="preserve">PKMP </w:t>
      </w:r>
      <w:proofErr w:type="spellStart"/>
      <w:r w:rsidR="00A60256" w:rsidRPr="00A60256">
        <w:rPr>
          <w:rFonts w:eastAsia="Calibri"/>
          <w:lang w:eastAsia="en-US"/>
        </w:rPr>
        <w:t>Čilipi</w:t>
      </w:r>
      <w:proofErr w:type="spellEnd"/>
      <w:r w:rsidRPr="0099311F">
        <w:rPr>
          <w:rFonts w:eastAsia="Calibri"/>
          <w:lang w:eastAsia="en-US"/>
        </w:rPr>
        <w:t>,</w:t>
      </w:r>
      <w:r w:rsidR="00505C3F" w:rsidRPr="0099311F">
        <w:rPr>
          <w:rFonts w:eastAsia="Calibri"/>
          <w:lang w:eastAsia="en-US"/>
        </w:rPr>
        <w:t xml:space="preserve"> </w:t>
      </w:r>
      <w:r w:rsidR="00A60256" w:rsidRPr="00A60256">
        <w:rPr>
          <w:rFonts w:eastAsia="Calibri"/>
          <w:lang w:eastAsia="en-US"/>
        </w:rPr>
        <w:t>Vidova gora</w:t>
      </w:r>
      <w:r w:rsidR="00A60256">
        <w:rPr>
          <w:rFonts w:eastAsia="Calibri"/>
          <w:lang w:eastAsia="en-US"/>
        </w:rPr>
        <w:t xml:space="preserve">, </w:t>
      </w:r>
      <w:r w:rsidR="00A60256" w:rsidRPr="00A60256">
        <w:rPr>
          <w:rFonts w:eastAsia="Calibri"/>
          <w:lang w:eastAsia="en-US"/>
        </w:rPr>
        <w:t>KMP Split</w:t>
      </w:r>
      <w:r w:rsidR="00A60256">
        <w:rPr>
          <w:rFonts w:eastAsia="Calibri"/>
          <w:lang w:eastAsia="en-US"/>
        </w:rPr>
        <w:t xml:space="preserve">, </w:t>
      </w:r>
      <w:r w:rsidR="00A60256" w:rsidRPr="00A60256">
        <w:rPr>
          <w:rFonts w:eastAsia="Calibri"/>
          <w:lang w:eastAsia="en-US"/>
        </w:rPr>
        <w:t>Lončarski Vis</w:t>
      </w:r>
      <w:r w:rsidR="00A60256">
        <w:rPr>
          <w:rFonts w:eastAsia="Calibri"/>
          <w:lang w:eastAsia="en-US"/>
        </w:rPr>
        <w:t xml:space="preserve">, </w:t>
      </w:r>
      <w:r w:rsidR="00A60256" w:rsidRPr="00A60256">
        <w:rPr>
          <w:rFonts w:eastAsia="Calibri"/>
          <w:lang w:eastAsia="en-US"/>
        </w:rPr>
        <w:t>KMP Kockica</w:t>
      </w:r>
      <w:r w:rsidR="00A60256">
        <w:rPr>
          <w:rFonts w:eastAsia="Calibri"/>
          <w:lang w:eastAsia="en-US"/>
        </w:rPr>
        <w:t xml:space="preserve">, </w:t>
      </w:r>
      <w:r w:rsidR="00A60256" w:rsidRPr="00A60256">
        <w:rPr>
          <w:rFonts w:eastAsia="Calibri"/>
          <w:lang w:eastAsia="en-US"/>
        </w:rPr>
        <w:t>KMP Zrinska gora</w:t>
      </w:r>
      <w:r w:rsidR="00A60256">
        <w:rPr>
          <w:rFonts w:eastAsia="Calibri"/>
          <w:lang w:eastAsia="en-US"/>
        </w:rPr>
        <w:t xml:space="preserve">, </w:t>
      </w:r>
      <w:r w:rsidR="00A60256" w:rsidRPr="00A60256">
        <w:rPr>
          <w:rFonts w:eastAsia="Calibri"/>
          <w:lang w:eastAsia="en-US"/>
        </w:rPr>
        <w:t xml:space="preserve">KMP </w:t>
      </w:r>
      <w:proofErr w:type="spellStart"/>
      <w:r w:rsidR="00A60256" w:rsidRPr="00A60256">
        <w:rPr>
          <w:rFonts w:eastAsia="Calibri"/>
          <w:lang w:eastAsia="en-US"/>
        </w:rPr>
        <w:t>Degman</w:t>
      </w:r>
      <w:proofErr w:type="spellEnd"/>
      <w:r w:rsidR="00A60256">
        <w:rPr>
          <w:rFonts w:eastAsia="Calibri"/>
          <w:lang w:eastAsia="en-US"/>
        </w:rPr>
        <w:t xml:space="preserve">, </w:t>
      </w:r>
      <w:r w:rsidR="00A60256" w:rsidRPr="00A60256">
        <w:rPr>
          <w:rFonts w:eastAsia="Calibri"/>
          <w:lang w:eastAsia="en-US"/>
        </w:rPr>
        <w:t xml:space="preserve">KMP </w:t>
      </w:r>
      <w:proofErr w:type="spellStart"/>
      <w:r w:rsidR="00A60256" w:rsidRPr="00A60256">
        <w:rPr>
          <w:rFonts w:eastAsia="Calibri"/>
          <w:lang w:eastAsia="en-US"/>
        </w:rPr>
        <w:t>Rota</w:t>
      </w:r>
      <w:proofErr w:type="spellEnd"/>
      <w:r w:rsidR="00A60256">
        <w:rPr>
          <w:rFonts w:eastAsia="Calibri"/>
          <w:lang w:eastAsia="en-US"/>
        </w:rPr>
        <w:t xml:space="preserve">, </w:t>
      </w:r>
      <w:r w:rsidR="00A60256" w:rsidRPr="00A60256">
        <w:rPr>
          <w:rFonts w:eastAsia="Calibri"/>
          <w:lang w:eastAsia="en-US"/>
        </w:rPr>
        <w:t>PKMP Savudrija</w:t>
      </w:r>
      <w:r w:rsidR="00A60256">
        <w:rPr>
          <w:rFonts w:eastAsia="Calibri"/>
          <w:lang w:eastAsia="en-US"/>
        </w:rPr>
        <w:t>)</w:t>
      </w:r>
      <w:r w:rsidR="00765629">
        <w:rPr>
          <w:rFonts w:eastAsia="Calibri"/>
          <w:lang w:eastAsia="en-US"/>
        </w:rPr>
        <w:t>,</w:t>
      </w:r>
    </w:p>
    <w:p w14:paraId="49760375" w14:textId="7BDF239A" w:rsidR="00E53520" w:rsidRPr="0099311F" w:rsidRDefault="00E53520" w:rsidP="00E176A4">
      <w:pPr>
        <w:pStyle w:val="ListParagraph"/>
        <w:numPr>
          <w:ilvl w:val="0"/>
          <w:numId w:val="13"/>
        </w:numPr>
        <w:suppressAutoHyphens/>
        <w:spacing w:after="160" w:line="259" w:lineRule="auto"/>
        <w:jc w:val="both"/>
        <w:rPr>
          <w:rFonts w:eastAsia="Calibri"/>
          <w:lang w:eastAsia="en-US"/>
        </w:rPr>
      </w:pPr>
      <w:r w:rsidRPr="0099311F">
        <w:rPr>
          <w:rFonts w:eastAsia="Calibri"/>
          <w:lang w:eastAsia="en-US"/>
        </w:rPr>
        <w:t xml:space="preserve">instrumenti osiguranja plaćanja u iznosu od </w:t>
      </w:r>
      <w:r w:rsidR="00E176A4" w:rsidRPr="00E176A4">
        <w:rPr>
          <w:rFonts w:eastAsia="Calibri"/>
          <w:lang w:eastAsia="en-US"/>
        </w:rPr>
        <w:t>7.754.116,11</w:t>
      </w:r>
      <w:r w:rsidRPr="0099311F">
        <w:rPr>
          <w:rFonts w:eastAsia="Calibri"/>
          <w:lang w:eastAsia="en-US"/>
        </w:rPr>
        <w:t xml:space="preserve"> kn</w:t>
      </w:r>
      <w:r w:rsidR="00765629">
        <w:rPr>
          <w:rFonts w:eastAsia="Calibri"/>
          <w:lang w:eastAsia="en-US"/>
        </w:rPr>
        <w:t xml:space="preserve"> (dani i primljeni vrijednosni papiri – detaljniji pregled u tablici niže)</w:t>
      </w:r>
      <w:r w:rsidRPr="0099311F">
        <w:rPr>
          <w:rFonts w:eastAsia="Calibri"/>
          <w:lang w:eastAsia="en-US"/>
        </w:rPr>
        <w:t>,</w:t>
      </w:r>
    </w:p>
    <w:p w14:paraId="4F6F7C90" w14:textId="6B2CE535" w:rsidR="00E53520" w:rsidRPr="0099311F" w:rsidRDefault="00E53520" w:rsidP="00E176A4">
      <w:pPr>
        <w:pStyle w:val="ListParagraph"/>
        <w:numPr>
          <w:ilvl w:val="0"/>
          <w:numId w:val="13"/>
        </w:numPr>
        <w:suppressAutoHyphens/>
        <w:spacing w:after="160" w:line="259" w:lineRule="auto"/>
        <w:jc w:val="both"/>
        <w:rPr>
          <w:rFonts w:eastAsia="Calibri"/>
          <w:lang w:eastAsia="en-US"/>
        </w:rPr>
      </w:pPr>
      <w:r w:rsidRPr="0099311F">
        <w:rPr>
          <w:rFonts w:eastAsia="Calibri"/>
          <w:lang w:eastAsia="en-US"/>
        </w:rPr>
        <w:t xml:space="preserve">potencijalne obveze po osnovi sudskih sporova u tijeku u iznosu od </w:t>
      </w:r>
      <w:r w:rsidR="00E176A4" w:rsidRPr="00E176A4">
        <w:rPr>
          <w:rFonts w:eastAsia="Calibri"/>
          <w:lang w:eastAsia="en-US"/>
        </w:rPr>
        <w:t>1.090.255,20</w:t>
      </w:r>
      <w:r w:rsidR="005F1347">
        <w:rPr>
          <w:rFonts w:eastAsia="Calibri"/>
          <w:lang w:eastAsia="en-US"/>
        </w:rPr>
        <w:t xml:space="preserve"> kn</w:t>
      </w:r>
      <w:r w:rsidR="00765629">
        <w:rPr>
          <w:rFonts w:eastAsia="Calibri"/>
          <w:lang w:eastAsia="en-US"/>
        </w:rPr>
        <w:t xml:space="preserve"> (detaljniji pregled u tablici niže)</w:t>
      </w:r>
      <w:r w:rsidR="005F1347">
        <w:rPr>
          <w:rFonts w:eastAsia="Calibri"/>
          <w:lang w:eastAsia="en-US"/>
        </w:rPr>
        <w:t>.</w:t>
      </w:r>
    </w:p>
    <w:p w14:paraId="7CE60040" w14:textId="77777777" w:rsidR="00360E80" w:rsidRPr="005B391E" w:rsidRDefault="00360E80" w:rsidP="005B391E">
      <w:pPr>
        <w:suppressAutoHyphens/>
        <w:spacing w:line="259" w:lineRule="auto"/>
        <w:jc w:val="both"/>
        <w:rPr>
          <w:rFonts w:eastAsia="Calibri"/>
          <w:lang w:eastAsia="en-US"/>
        </w:rPr>
      </w:pPr>
    </w:p>
    <w:p w14:paraId="0DCE0D22" w14:textId="77777777" w:rsidR="00340983" w:rsidRPr="00DA2E87" w:rsidRDefault="00340983" w:rsidP="00202D22">
      <w:pPr>
        <w:pStyle w:val="ListParagraph"/>
        <w:suppressAutoHyphens/>
        <w:spacing w:line="259" w:lineRule="auto"/>
        <w:jc w:val="both"/>
        <w:rPr>
          <w:rFonts w:eastAsia="Calibri"/>
          <w:lang w:eastAsia="en-US"/>
        </w:rPr>
      </w:pPr>
    </w:p>
    <w:p w14:paraId="4E4DF45C" w14:textId="78760D0D" w:rsidR="00E53520" w:rsidRDefault="00E53520" w:rsidP="00F35200">
      <w:pPr>
        <w:suppressAutoHyphens/>
        <w:spacing w:after="160" w:line="259" w:lineRule="auto"/>
        <w:jc w:val="both"/>
      </w:pPr>
      <w:r w:rsidRPr="00DA2E87">
        <w:rPr>
          <w:rFonts w:eastAsia="Calibri"/>
          <w:lang w:eastAsia="en-US"/>
        </w:rPr>
        <w:t xml:space="preserve">U nastavku su tablice s popisom ugovornih odnosa i slično koji uz ispunjenje određenih uvjeta mogu postati obveza ili imovina (dane </w:t>
      </w:r>
      <w:r w:rsidR="0081410B">
        <w:rPr>
          <w:rFonts w:eastAsia="Calibri"/>
          <w:lang w:eastAsia="en-US"/>
        </w:rPr>
        <w:t xml:space="preserve">i primljene bjanko zadužnice, dane i </w:t>
      </w:r>
      <w:r w:rsidRPr="00DA2E87">
        <w:rPr>
          <w:rFonts w:eastAsia="Calibri"/>
          <w:lang w:eastAsia="en-US"/>
        </w:rPr>
        <w:t xml:space="preserve">primljene </w:t>
      </w:r>
      <w:r w:rsidR="0081410B">
        <w:rPr>
          <w:rFonts w:eastAsia="Calibri"/>
          <w:lang w:eastAsia="en-US"/>
        </w:rPr>
        <w:t>zadužnice te</w:t>
      </w:r>
      <w:r w:rsidR="002C11BC">
        <w:rPr>
          <w:rFonts w:eastAsia="Calibri"/>
          <w:lang w:eastAsia="en-US"/>
        </w:rPr>
        <w:t xml:space="preserve"> </w:t>
      </w:r>
      <w:r w:rsidRPr="00DA2E87">
        <w:rPr>
          <w:rFonts w:eastAsia="Calibri"/>
          <w:lang w:eastAsia="en-US"/>
        </w:rPr>
        <w:t xml:space="preserve">bankovne garancije </w:t>
      </w:r>
      <w:r w:rsidR="0081410B">
        <w:rPr>
          <w:rFonts w:eastAsia="Calibri"/>
          <w:lang w:eastAsia="en-US"/>
        </w:rPr>
        <w:t xml:space="preserve">i jamstvo </w:t>
      </w:r>
      <w:r w:rsidRPr="00DA2E87">
        <w:rPr>
          <w:rFonts w:eastAsia="Calibri"/>
          <w:lang w:eastAsia="en-US"/>
        </w:rPr>
        <w:t>kao instrumenti osiguranja plaćanja) te popis sudskih sporova u tijeku s opisom prirode spora, procjenom financijskog učinka koji može proisteći iz sudskog spora kao obveza ili imovina te procijenjenim vremenom odljeva ili priljeva.</w:t>
      </w:r>
      <w:r w:rsidR="00961B70">
        <w:rPr>
          <w:rFonts w:eastAsia="Calibri"/>
          <w:lang w:eastAsia="en-US"/>
        </w:rPr>
        <w:t xml:space="preserve">   </w:t>
      </w:r>
    </w:p>
    <w:p w14:paraId="3996DCAF" w14:textId="77777777" w:rsidR="00746C31" w:rsidRDefault="00746C31" w:rsidP="00D47F74">
      <w:pPr>
        <w:jc w:val="center"/>
        <w:rPr>
          <w:rFonts w:eastAsiaTheme="minorHAnsi"/>
          <w:b/>
          <w:sz w:val="28"/>
          <w:szCs w:val="28"/>
          <w:lang w:eastAsia="en-US"/>
        </w:rPr>
        <w:sectPr w:rsidR="00746C31" w:rsidSect="0066434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701" w:right="1134" w:bottom="1560" w:left="1134" w:header="340" w:footer="454" w:gutter="0"/>
          <w:cols w:space="708"/>
          <w:titlePg/>
          <w:docGrid w:linePitch="360"/>
        </w:sectPr>
      </w:pPr>
    </w:p>
    <w:p w14:paraId="678C73FB" w14:textId="77777777" w:rsidR="00C36E65" w:rsidRDefault="00C36E65" w:rsidP="00D47F74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BC4EEBA" w14:textId="12E69D9E" w:rsidR="00E53520" w:rsidRDefault="00E53520" w:rsidP="00D47F7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A2E87">
        <w:rPr>
          <w:rFonts w:eastAsiaTheme="minorHAnsi"/>
          <w:b/>
          <w:sz w:val="28"/>
          <w:szCs w:val="28"/>
          <w:lang w:eastAsia="en-US"/>
        </w:rPr>
        <w:t>POPIS PRIMLJENIH I DANIH VRIJEDNOSNIH PAPIRA</w:t>
      </w:r>
    </w:p>
    <w:p w14:paraId="6EB29310" w14:textId="77777777" w:rsidR="00EF4B1B" w:rsidRDefault="00EF4B1B" w:rsidP="00D47F74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14250FC" w14:textId="77777777" w:rsidR="00EF4B1B" w:rsidRDefault="00EF4B1B" w:rsidP="00D47F74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TableGrid2"/>
        <w:tblW w:w="148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3402"/>
        <w:gridCol w:w="1701"/>
        <w:gridCol w:w="2126"/>
        <w:gridCol w:w="1843"/>
        <w:gridCol w:w="1276"/>
        <w:gridCol w:w="2409"/>
      </w:tblGrid>
      <w:tr w:rsidR="00EF4B1B" w:rsidRPr="00EF4B1B" w14:paraId="59EA0D97" w14:textId="77777777" w:rsidTr="00E06E79">
        <w:tc>
          <w:tcPr>
            <w:tcW w:w="817" w:type="dxa"/>
            <w:shd w:val="clear" w:color="auto" w:fill="D9D9D9" w:themeFill="background1" w:themeFillShade="D9"/>
          </w:tcPr>
          <w:p w14:paraId="76EFB9D9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4B1B">
              <w:rPr>
                <w:rFonts w:ascii="Times New Roman" w:hAnsi="Times New Roman" w:cs="Times New Roman"/>
                <w:b/>
              </w:rPr>
              <w:t>Red. br.</w:t>
            </w:r>
          </w:p>
          <w:p w14:paraId="65B9ABA5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EFAD5D9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4B1B">
              <w:rPr>
                <w:rFonts w:ascii="Times New Roman" w:hAnsi="Times New Roman" w:cs="Times New Roman"/>
                <w:b/>
              </w:rPr>
              <w:t>Datum izdavanja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7EAB7CE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4B1B">
              <w:rPr>
                <w:rFonts w:ascii="Times New Roman" w:hAnsi="Times New Roman" w:cs="Times New Roman"/>
                <w:b/>
              </w:rPr>
              <w:t>Instrument osiguranja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29A28BD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4B1B">
              <w:rPr>
                <w:rFonts w:ascii="Times New Roman" w:hAnsi="Times New Roman" w:cs="Times New Roman"/>
                <w:b/>
              </w:rPr>
              <w:t>Iznos dani/primljeni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F199868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4B1B">
              <w:rPr>
                <w:rFonts w:ascii="Times New Roman" w:hAnsi="Times New Roman" w:cs="Times New Roman"/>
                <w:b/>
              </w:rPr>
              <w:t>Primatelj/</w:t>
            </w:r>
          </w:p>
          <w:p w14:paraId="63F874AB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4B1B">
              <w:rPr>
                <w:rFonts w:ascii="Times New Roman" w:hAnsi="Times New Roman" w:cs="Times New Roman"/>
                <w:b/>
              </w:rPr>
              <w:t>davatelj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DA0A860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4B1B">
              <w:rPr>
                <w:rFonts w:ascii="Times New Roman" w:hAnsi="Times New Roman" w:cs="Times New Roman"/>
                <w:b/>
              </w:rPr>
              <w:t>Namjena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7684611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4B1B">
              <w:rPr>
                <w:rFonts w:ascii="Times New Roman" w:hAnsi="Times New Roman" w:cs="Times New Roman"/>
                <w:b/>
              </w:rPr>
              <w:t>Rok važenja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654AFD3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4B1B">
              <w:rPr>
                <w:rFonts w:ascii="Times New Roman" w:hAnsi="Times New Roman" w:cs="Times New Roman"/>
                <w:b/>
              </w:rPr>
              <w:t>Napomena</w:t>
            </w:r>
          </w:p>
        </w:tc>
      </w:tr>
      <w:tr w:rsidR="00EF4B1B" w:rsidRPr="00EF4B1B" w14:paraId="791BAAFD" w14:textId="77777777" w:rsidTr="00E06E79">
        <w:trPr>
          <w:trHeight w:val="340"/>
        </w:trPr>
        <w:tc>
          <w:tcPr>
            <w:tcW w:w="817" w:type="dxa"/>
            <w:vAlign w:val="center"/>
          </w:tcPr>
          <w:p w14:paraId="03182ED4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1276" w:type="dxa"/>
            <w:vAlign w:val="center"/>
          </w:tcPr>
          <w:p w14:paraId="51C92DBE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10.10.2014.</w:t>
            </w:r>
          </w:p>
        </w:tc>
        <w:tc>
          <w:tcPr>
            <w:tcW w:w="3402" w:type="dxa"/>
            <w:vAlign w:val="center"/>
          </w:tcPr>
          <w:p w14:paraId="2DECAABE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Bjanko zadužnica br. OV-10490/14</w:t>
            </w:r>
          </w:p>
        </w:tc>
        <w:tc>
          <w:tcPr>
            <w:tcW w:w="1701" w:type="dxa"/>
            <w:vAlign w:val="center"/>
          </w:tcPr>
          <w:p w14:paraId="6B5F07E6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do 100.000,00 kn</w:t>
            </w:r>
          </w:p>
        </w:tc>
        <w:tc>
          <w:tcPr>
            <w:tcW w:w="2126" w:type="dxa"/>
            <w:vAlign w:val="center"/>
          </w:tcPr>
          <w:p w14:paraId="37BEEA55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INA d.d.</w:t>
            </w:r>
          </w:p>
        </w:tc>
        <w:tc>
          <w:tcPr>
            <w:tcW w:w="1843" w:type="dxa"/>
            <w:vAlign w:val="center"/>
          </w:tcPr>
          <w:p w14:paraId="32308862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  <w:vAlign w:val="center"/>
          </w:tcPr>
          <w:p w14:paraId="0AECF8B6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31.12.2022.</w:t>
            </w:r>
          </w:p>
        </w:tc>
        <w:tc>
          <w:tcPr>
            <w:tcW w:w="2409" w:type="dxa"/>
            <w:vAlign w:val="center"/>
          </w:tcPr>
          <w:p w14:paraId="400E212E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Dani vrijednosni papir</w:t>
            </w:r>
          </w:p>
        </w:tc>
      </w:tr>
      <w:tr w:rsidR="00EF4B1B" w:rsidRPr="00EF4B1B" w14:paraId="3C23C862" w14:textId="77777777" w:rsidTr="00E06E79">
        <w:trPr>
          <w:trHeight w:val="340"/>
        </w:trPr>
        <w:tc>
          <w:tcPr>
            <w:tcW w:w="817" w:type="dxa"/>
            <w:vAlign w:val="center"/>
          </w:tcPr>
          <w:p w14:paraId="357B9E7A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1276" w:type="dxa"/>
            <w:vAlign w:val="center"/>
          </w:tcPr>
          <w:p w14:paraId="627B7DD1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10.10.2014.</w:t>
            </w:r>
          </w:p>
        </w:tc>
        <w:tc>
          <w:tcPr>
            <w:tcW w:w="3402" w:type="dxa"/>
            <w:vAlign w:val="center"/>
          </w:tcPr>
          <w:p w14:paraId="3696B06A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Bjanko zadužnica br. OV-10491/14</w:t>
            </w:r>
          </w:p>
        </w:tc>
        <w:tc>
          <w:tcPr>
            <w:tcW w:w="1701" w:type="dxa"/>
            <w:vAlign w:val="center"/>
          </w:tcPr>
          <w:p w14:paraId="4DFAA527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do 100.000,00 kn</w:t>
            </w:r>
          </w:p>
        </w:tc>
        <w:tc>
          <w:tcPr>
            <w:tcW w:w="2126" w:type="dxa"/>
            <w:vAlign w:val="center"/>
          </w:tcPr>
          <w:p w14:paraId="239EB06C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INA d.d.</w:t>
            </w:r>
          </w:p>
        </w:tc>
        <w:tc>
          <w:tcPr>
            <w:tcW w:w="1843" w:type="dxa"/>
            <w:vAlign w:val="center"/>
          </w:tcPr>
          <w:p w14:paraId="19E2DE40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  <w:vAlign w:val="center"/>
          </w:tcPr>
          <w:p w14:paraId="2F750DE0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31.12.2022.</w:t>
            </w:r>
          </w:p>
        </w:tc>
        <w:tc>
          <w:tcPr>
            <w:tcW w:w="2409" w:type="dxa"/>
            <w:vAlign w:val="center"/>
          </w:tcPr>
          <w:p w14:paraId="38A20EEF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Dani vrijednosni papir</w:t>
            </w:r>
          </w:p>
        </w:tc>
      </w:tr>
      <w:tr w:rsidR="00EF4B1B" w:rsidRPr="00EF4B1B" w14:paraId="54359CA6" w14:textId="77777777" w:rsidTr="00E06E79">
        <w:trPr>
          <w:trHeight w:val="425"/>
        </w:trPr>
        <w:tc>
          <w:tcPr>
            <w:tcW w:w="817" w:type="dxa"/>
            <w:vAlign w:val="center"/>
          </w:tcPr>
          <w:p w14:paraId="43CB1E1C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</w:p>
        </w:tc>
        <w:tc>
          <w:tcPr>
            <w:tcW w:w="1276" w:type="dxa"/>
            <w:vAlign w:val="center"/>
          </w:tcPr>
          <w:p w14:paraId="624EEF16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15.02.2022.</w:t>
            </w:r>
          </w:p>
        </w:tc>
        <w:tc>
          <w:tcPr>
            <w:tcW w:w="3402" w:type="dxa"/>
            <w:vAlign w:val="center"/>
          </w:tcPr>
          <w:p w14:paraId="093713CF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Zadužnica poslovni br. OV-1230/2022</w:t>
            </w:r>
          </w:p>
        </w:tc>
        <w:tc>
          <w:tcPr>
            <w:tcW w:w="1701" w:type="dxa"/>
            <w:vAlign w:val="center"/>
          </w:tcPr>
          <w:p w14:paraId="20FFA67F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259.062,39 kn</w:t>
            </w:r>
          </w:p>
        </w:tc>
        <w:tc>
          <w:tcPr>
            <w:tcW w:w="2126" w:type="dxa"/>
            <w:vAlign w:val="center"/>
          </w:tcPr>
          <w:p w14:paraId="0AA315C1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HEP – Operator distribucijskog sustava d.o.o.</w:t>
            </w:r>
          </w:p>
        </w:tc>
        <w:tc>
          <w:tcPr>
            <w:tcW w:w="1843" w:type="dxa"/>
            <w:vAlign w:val="center"/>
          </w:tcPr>
          <w:p w14:paraId="2D8648C2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  <w:vAlign w:val="center"/>
          </w:tcPr>
          <w:p w14:paraId="13A2046F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31.12.2023.</w:t>
            </w:r>
          </w:p>
        </w:tc>
        <w:tc>
          <w:tcPr>
            <w:tcW w:w="2409" w:type="dxa"/>
            <w:vAlign w:val="center"/>
          </w:tcPr>
          <w:p w14:paraId="4990D484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Dani vrijednosni papir</w:t>
            </w:r>
          </w:p>
        </w:tc>
      </w:tr>
      <w:tr w:rsidR="00EF4B1B" w:rsidRPr="00EF4B1B" w14:paraId="332DF043" w14:textId="77777777" w:rsidTr="00E06E79">
        <w:trPr>
          <w:trHeight w:val="340"/>
        </w:trPr>
        <w:tc>
          <w:tcPr>
            <w:tcW w:w="817" w:type="dxa"/>
            <w:vAlign w:val="center"/>
          </w:tcPr>
          <w:p w14:paraId="27C77E33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276" w:type="dxa"/>
            <w:vAlign w:val="center"/>
          </w:tcPr>
          <w:p w14:paraId="2B41219A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23.07.2019.</w:t>
            </w:r>
          </w:p>
        </w:tc>
        <w:tc>
          <w:tcPr>
            <w:tcW w:w="3402" w:type="dxa"/>
            <w:vAlign w:val="center"/>
          </w:tcPr>
          <w:p w14:paraId="7CB2D7D3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Bankovna garancija br. 4100935388</w:t>
            </w:r>
          </w:p>
        </w:tc>
        <w:tc>
          <w:tcPr>
            <w:tcW w:w="1701" w:type="dxa"/>
            <w:vAlign w:val="center"/>
          </w:tcPr>
          <w:p w14:paraId="740EB368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5.800.000,00 kn</w:t>
            </w:r>
          </w:p>
        </w:tc>
        <w:tc>
          <w:tcPr>
            <w:tcW w:w="2126" w:type="dxa"/>
            <w:vAlign w:val="center"/>
          </w:tcPr>
          <w:p w14:paraId="7305A36D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Odašiljači i veze d.o.o.</w:t>
            </w:r>
          </w:p>
        </w:tc>
        <w:tc>
          <w:tcPr>
            <w:tcW w:w="1843" w:type="dxa"/>
            <w:vAlign w:val="center"/>
          </w:tcPr>
          <w:p w14:paraId="3A5B762C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Uredno ispunjenje ugovora</w:t>
            </w:r>
          </w:p>
        </w:tc>
        <w:tc>
          <w:tcPr>
            <w:tcW w:w="1276" w:type="dxa"/>
            <w:vAlign w:val="center"/>
          </w:tcPr>
          <w:p w14:paraId="61D14D46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31.12.2022.</w:t>
            </w:r>
          </w:p>
        </w:tc>
        <w:tc>
          <w:tcPr>
            <w:tcW w:w="2409" w:type="dxa"/>
            <w:vAlign w:val="center"/>
          </w:tcPr>
          <w:p w14:paraId="358E67B9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EF4B1B" w:rsidRPr="00EF4B1B" w14:paraId="53F3890F" w14:textId="77777777" w:rsidTr="00E06E79">
        <w:trPr>
          <w:trHeight w:val="340"/>
        </w:trPr>
        <w:tc>
          <w:tcPr>
            <w:tcW w:w="817" w:type="dxa"/>
            <w:vAlign w:val="center"/>
          </w:tcPr>
          <w:p w14:paraId="0466FBD5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276" w:type="dxa"/>
            <w:vAlign w:val="center"/>
          </w:tcPr>
          <w:p w14:paraId="7DD7C469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08.09.2020.</w:t>
            </w:r>
          </w:p>
        </w:tc>
        <w:tc>
          <w:tcPr>
            <w:tcW w:w="3402" w:type="dxa"/>
            <w:vAlign w:val="center"/>
          </w:tcPr>
          <w:p w14:paraId="5996EC86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Bjanko zadužnica br. OV-7461/2020</w:t>
            </w:r>
          </w:p>
        </w:tc>
        <w:tc>
          <w:tcPr>
            <w:tcW w:w="1701" w:type="dxa"/>
            <w:vAlign w:val="center"/>
          </w:tcPr>
          <w:p w14:paraId="0DFCBE9A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26.488,20 kn</w:t>
            </w:r>
          </w:p>
        </w:tc>
        <w:tc>
          <w:tcPr>
            <w:tcW w:w="2126" w:type="dxa"/>
            <w:vAlign w:val="center"/>
          </w:tcPr>
          <w:p w14:paraId="3428DF54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KODEKS d.o.o.</w:t>
            </w:r>
          </w:p>
        </w:tc>
        <w:tc>
          <w:tcPr>
            <w:tcW w:w="1843" w:type="dxa"/>
            <w:vAlign w:val="center"/>
          </w:tcPr>
          <w:p w14:paraId="1F0C7B00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Otklanjanje nedostataka u jamstvenom roku</w:t>
            </w:r>
          </w:p>
        </w:tc>
        <w:tc>
          <w:tcPr>
            <w:tcW w:w="1276" w:type="dxa"/>
            <w:vAlign w:val="center"/>
          </w:tcPr>
          <w:p w14:paraId="3CD76E8A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28.10.2025.</w:t>
            </w:r>
          </w:p>
        </w:tc>
        <w:tc>
          <w:tcPr>
            <w:tcW w:w="2409" w:type="dxa"/>
            <w:vAlign w:val="center"/>
          </w:tcPr>
          <w:p w14:paraId="2FB87F2C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EF4B1B" w:rsidRPr="00EF4B1B" w14:paraId="4CEFE110" w14:textId="77777777" w:rsidTr="00E06E79">
        <w:trPr>
          <w:trHeight w:val="340"/>
        </w:trPr>
        <w:tc>
          <w:tcPr>
            <w:tcW w:w="817" w:type="dxa"/>
            <w:vAlign w:val="center"/>
          </w:tcPr>
          <w:p w14:paraId="40DDE8A1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276" w:type="dxa"/>
            <w:vAlign w:val="center"/>
          </w:tcPr>
          <w:p w14:paraId="1C323CB6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30.12.2020.</w:t>
            </w:r>
          </w:p>
        </w:tc>
        <w:tc>
          <w:tcPr>
            <w:tcW w:w="3402" w:type="dxa"/>
            <w:vAlign w:val="center"/>
          </w:tcPr>
          <w:p w14:paraId="4E4FCBE3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Zadužnica poslovni br. OV-12272/2020</w:t>
            </w:r>
          </w:p>
        </w:tc>
        <w:tc>
          <w:tcPr>
            <w:tcW w:w="1701" w:type="dxa"/>
            <w:vAlign w:val="center"/>
          </w:tcPr>
          <w:p w14:paraId="664D9F06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165.366,00 kn</w:t>
            </w:r>
          </w:p>
        </w:tc>
        <w:tc>
          <w:tcPr>
            <w:tcW w:w="2126" w:type="dxa"/>
            <w:vAlign w:val="center"/>
          </w:tcPr>
          <w:p w14:paraId="4ADAA808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Mjerne tehnologije d.o.o.</w:t>
            </w:r>
          </w:p>
        </w:tc>
        <w:tc>
          <w:tcPr>
            <w:tcW w:w="1843" w:type="dxa"/>
            <w:vAlign w:val="center"/>
          </w:tcPr>
          <w:p w14:paraId="416D289A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Otklanjanje nedostataka u jamstvenom roku</w:t>
            </w:r>
          </w:p>
        </w:tc>
        <w:tc>
          <w:tcPr>
            <w:tcW w:w="1276" w:type="dxa"/>
            <w:vAlign w:val="center"/>
          </w:tcPr>
          <w:p w14:paraId="13BB72CA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24.12.2027.</w:t>
            </w:r>
          </w:p>
        </w:tc>
        <w:tc>
          <w:tcPr>
            <w:tcW w:w="2409" w:type="dxa"/>
            <w:vAlign w:val="center"/>
          </w:tcPr>
          <w:p w14:paraId="192F76DE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EF4B1B" w:rsidRPr="00EF4B1B" w14:paraId="051D3F75" w14:textId="77777777" w:rsidTr="00E06E79">
        <w:trPr>
          <w:trHeight w:val="340"/>
        </w:trPr>
        <w:tc>
          <w:tcPr>
            <w:tcW w:w="817" w:type="dxa"/>
            <w:vAlign w:val="center"/>
          </w:tcPr>
          <w:p w14:paraId="299A086B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276" w:type="dxa"/>
            <w:vAlign w:val="center"/>
          </w:tcPr>
          <w:p w14:paraId="1541B00A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23.09.2021.</w:t>
            </w:r>
          </w:p>
        </w:tc>
        <w:tc>
          <w:tcPr>
            <w:tcW w:w="3402" w:type="dxa"/>
            <w:vAlign w:val="center"/>
          </w:tcPr>
          <w:p w14:paraId="140B27D5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Bjanko zadužnica br. OV-10581/2021</w:t>
            </w:r>
          </w:p>
        </w:tc>
        <w:tc>
          <w:tcPr>
            <w:tcW w:w="1701" w:type="dxa"/>
            <w:vAlign w:val="center"/>
          </w:tcPr>
          <w:p w14:paraId="0B03D2B3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32.451,09 kn</w:t>
            </w:r>
          </w:p>
        </w:tc>
        <w:tc>
          <w:tcPr>
            <w:tcW w:w="2126" w:type="dxa"/>
            <w:vAlign w:val="center"/>
          </w:tcPr>
          <w:p w14:paraId="2CB6D8F9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KODEKS d.o.o.</w:t>
            </w:r>
          </w:p>
        </w:tc>
        <w:tc>
          <w:tcPr>
            <w:tcW w:w="1843" w:type="dxa"/>
            <w:vAlign w:val="center"/>
          </w:tcPr>
          <w:p w14:paraId="7DAE87EB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Otklanjanje nedostataka u jamstvenom roku</w:t>
            </w:r>
          </w:p>
        </w:tc>
        <w:tc>
          <w:tcPr>
            <w:tcW w:w="1276" w:type="dxa"/>
            <w:vAlign w:val="center"/>
          </w:tcPr>
          <w:p w14:paraId="2BA13CCE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06.12.2026.</w:t>
            </w:r>
          </w:p>
        </w:tc>
        <w:tc>
          <w:tcPr>
            <w:tcW w:w="2409" w:type="dxa"/>
            <w:vAlign w:val="center"/>
          </w:tcPr>
          <w:p w14:paraId="63A67D2E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EF4B1B" w:rsidRPr="00EF4B1B" w14:paraId="6D89282D" w14:textId="77777777" w:rsidTr="00E06E79">
        <w:trPr>
          <w:trHeight w:val="340"/>
        </w:trPr>
        <w:tc>
          <w:tcPr>
            <w:tcW w:w="817" w:type="dxa"/>
            <w:vAlign w:val="center"/>
          </w:tcPr>
          <w:p w14:paraId="4E1814A4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276" w:type="dxa"/>
            <w:vAlign w:val="center"/>
          </w:tcPr>
          <w:p w14:paraId="0CDCA6B5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22.10.2021.</w:t>
            </w:r>
          </w:p>
        </w:tc>
        <w:tc>
          <w:tcPr>
            <w:tcW w:w="3402" w:type="dxa"/>
            <w:vAlign w:val="center"/>
          </w:tcPr>
          <w:p w14:paraId="07F41A0A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Bankovna garancija br. 4101047282</w:t>
            </w:r>
          </w:p>
        </w:tc>
        <w:tc>
          <w:tcPr>
            <w:tcW w:w="1701" w:type="dxa"/>
            <w:vAlign w:val="center"/>
          </w:tcPr>
          <w:p w14:paraId="3A97B285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213.600,00 kn</w:t>
            </w:r>
          </w:p>
        </w:tc>
        <w:tc>
          <w:tcPr>
            <w:tcW w:w="2126" w:type="dxa"/>
            <w:vAlign w:val="center"/>
          </w:tcPr>
          <w:p w14:paraId="68A87DB1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Odašiljači i veze d.o.o.</w:t>
            </w:r>
          </w:p>
        </w:tc>
        <w:tc>
          <w:tcPr>
            <w:tcW w:w="1843" w:type="dxa"/>
            <w:vAlign w:val="center"/>
          </w:tcPr>
          <w:p w14:paraId="22EAE64A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Uredno ispunjenje ugovora</w:t>
            </w:r>
          </w:p>
        </w:tc>
        <w:tc>
          <w:tcPr>
            <w:tcW w:w="1276" w:type="dxa"/>
            <w:vAlign w:val="center"/>
          </w:tcPr>
          <w:p w14:paraId="28916972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31.12.2024.</w:t>
            </w:r>
          </w:p>
        </w:tc>
        <w:tc>
          <w:tcPr>
            <w:tcW w:w="2409" w:type="dxa"/>
            <w:vAlign w:val="center"/>
          </w:tcPr>
          <w:p w14:paraId="6D86F59B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EF4B1B" w:rsidRPr="00EF4B1B" w14:paraId="2FFB8C2A" w14:textId="77777777" w:rsidTr="00E06E79">
        <w:trPr>
          <w:trHeight w:val="340"/>
        </w:trPr>
        <w:tc>
          <w:tcPr>
            <w:tcW w:w="817" w:type="dxa"/>
            <w:vAlign w:val="center"/>
          </w:tcPr>
          <w:p w14:paraId="41D743B4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276" w:type="dxa"/>
            <w:vAlign w:val="center"/>
          </w:tcPr>
          <w:p w14:paraId="7A4D25E1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13.01.2022.</w:t>
            </w:r>
          </w:p>
        </w:tc>
        <w:tc>
          <w:tcPr>
            <w:tcW w:w="3402" w:type="dxa"/>
            <w:vAlign w:val="center"/>
          </w:tcPr>
          <w:p w14:paraId="7CB3329A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Zadužnica poslovni br. OV-355/2022</w:t>
            </w:r>
          </w:p>
        </w:tc>
        <w:tc>
          <w:tcPr>
            <w:tcW w:w="1701" w:type="dxa"/>
            <w:vAlign w:val="center"/>
          </w:tcPr>
          <w:p w14:paraId="01A9468B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29.880,00 kn</w:t>
            </w:r>
          </w:p>
        </w:tc>
        <w:tc>
          <w:tcPr>
            <w:tcW w:w="2126" w:type="dxa"/>
            <w:vAlign w:val="center"/>
          </w:tcPr>
          <w:p w14:paraId="5603FB11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Iskon Internet d.d.</w:t>
            </w:r>
          </w:p>
        </w:tc>
        <w:tc>
          <w:tcPr>
            <w:tcW w:w="1843" w:type="dxa"/>
            <w:vAlign w:val="center"/>
          </w:tcPr>
          <w:p w14:paraId="71C39A55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Uredno ispunjenje ugovora</w:t>
            </w:r>
          </w:p>
        </w:tc>
        <w:tc>
          <w:tcPr>
            <w:tcW w:w="1276" w:type="dxa"/>
            <w:vAlign w:val="center"/>
          </w:tcPr>
          <w:p w14:paraId="7804AE67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31.01.2024.</w:t>
            </w:r>
          </w:p>
        </w:tc>
        <w:tc>
          <w:tcPr>
            <w:tcW w:w="2409" w:type="dxa"/>
            <w:vAlign w:val="center"/>
          </w:tcPr>
          <w:p w14:paraId="66A3AB9D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EF4B1B" w:rsidRPr="00EF4B1B" w14:paraId="2F47C305" w14:textId="77777777" w:rsidTr="00E06E79">
        <w:trPr>
          <w:trHeight w:val="340"/>
        </w:trPr>
        <w:tc>
          <w:tcPr>
            <w:tcW w:w="817" w:type="dxa"/>
            <w:vAlign w:val="center"/>
          </w:tcPr>
          <w:p w14:paraId="603CF0D6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276" w:type="dxa"/>
            <w:vAlign w:val="center"/>
          </w:tcPr>
          <w:p w14:paraId="1CF029D2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20.01.2022.</w:t>
            </w:r>
          </w:p>
        </w:tc>
        <w:tc>
          <w:tcPr>
            <w:tcW w:w="3402" w:type="dxa"/>
            <w:vAlign w:val="center"/>
          </w:tcPr>
          <w:p w14:paraId="44811C3B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Bankovna garancija br. 5402271735</w:t>
            </w:r>
          </w:p>
        </w:tc>
        <w:tc>
          <w:tcPr>
            <w:tcW w:w="1701" w:type="dxa"/>
            <w:vAlign w:val="center"/>
          </w:tcPr>
          <w:p w14:paraId="2824CD17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34.161,48 kn</w:t>
            </w:r>
          </w:p>
        </w:tc>
        <w:tc>
          <w:tcPr>
            <w:tcW w:w="2126" w:type="dxa"/>
            <w:vAlign w:val="center"/>
          </w:tcPr>
          <w:p w14:paraId="26DCB40A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Wiener</w:t>
            </w:r>
            <w:proofErr w:type="spellEnd"/>
            <w:r w:rsidRPr="00EF4B1B">
              <w:rPr>
                <w:rFonts w:ascii="Times New Roman" w:hAnsi="Times New Roman" w:cs="Times New Roman"/>
                <w:sz w:val="18"/>
                <w:szCs w:val="18"/>
              </w:rPr>
              <w:t xml:space="preserve"> osiguranje </w:t>
            </w:r>
            <w:proofErr w:type="spellStart"/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Vienna</w:t>
            </w:r>
            <w:proofErr w:type="spellEnd"/>
            <w:r w:rsidRPr="00EF4B1B">
              <w:rPr>
                <w:rFonts w:ascii="Times New Roman" w:hAnsi="Times New Roman" w:cs="Times New Roman"/>
                <w:sz w:val="18"/>
                <w:szCs w:val="18"/>
              </w:rPr>
              <w:t xml:space="preserve"> Insurance Group d.d.</w:t>
            </w:r>
          </w:p>
        </w:tc>
        <w:tc>
          <w:tcPr>
            <w:tcW w:w="1843" w:type="dxa"/>
            <w:vAlign w:val="center"/>
          </w:tcPr>
          <w:p w14:paraId="7BF39E73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Uredno ispunjenje ugovora</w:t>
            </w:r>
          </w:p>
        </w:tc>
        <w:tc>
          <w:tcPr>
            <w:tcW w:w="1276" w:type="dxa"/>
            <w:vAlign w:val="center"/>
          </w:tcPr>
          <w:p w14:paraId="4C12922B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31.01.2024.</w:t>
            </w:r>
          </w:p>
        </w:tc>
        <w:tc>
          <w:tcPr>
            <w:tcW w:w="2409" w:type="dxa"/>
            <w:vAlign w:val="center"/>
          </w:tcPr>
          <w:p w14:paraId="7F7E6724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EF4B1B" w:rsidRPr="00EF4B1B" w14:paraId="056AB289" w14:textId="77777777" w:rsidTr="00E06E79">
        <w:trPr>
          <w:trHeight w:val="340"/>
        </w:trPr>
        <w:tc>
          <w:tcPr>
            <w:tcW w:w="817" w:type="dxa"/>
            <w:vAlign w:val="center"/>
          </w:tcPr>
          <w:p w14:paraId="6F1162DE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276" w:type="dxa"/>
            <w:vAlign w:val="center"/>
          </w:tcPr>
          <w:p w14:paraId="090AC681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25.01.2022.</w:t>
            </w:r>
          </w:p>
        </w:tc>
        <w:tc>
          <w:tcPr>
            <w:tcW w:w="3402" w:type="dxa"/>
            <w:vAlign w:val="center"/>
          </w:tcPr>
          <w:p w14:paraId="7D6DED0B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Bankovna garancija br. 2204000444</w:t>
            </w:r>
          </w:p>
        </w:tc>
        <w:tc>
          <w:tcPr>
            <w:tcW w:w="1701" w:type="dxa"/>
            <w:vAlign w:val="center"/>
          </w:tcPr>
          <w:p w14:paraId="7D2BC94F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45.864,62 kn</w:t>
            </w:r>
          </w:p>
        </w:tc>
        <w:tc>
          <w:tcPr>
            <w:tcW w:w="2126" w:type="dxa"/>
            <w:vAlign w:val="center"/>
          </w:tcPr>
          <w:p w14:paraId="13D6E7E5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Allianz Hrvatska d.d.</w:t>
            </w:r>
          </w:p>
        </w:tc>
        <w:tc>
          <w:tcPr>
            <w:tcW w:w="1843" w:type="dxa"/>
            <w:vAlign w:val="center"/>
          </w:tcPr>
          <w:p w14:paraId="368AE9F9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Uredno ispunjenje ugovora</w:t>
            </w:r>
          </w:p>
        </w:tc>
        <w:tc>
          <w:tcPr>
            <w:tcW w:w="1276" w:type="dxa"/>
            <w:vAlign w:val="center"/>
          </w:tcPr>
          <w:p w14:paraId="0A3ECEA0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30.01.2024.</w:t>
            </w:r>
          </w:p>
        </w:tc>
        <w:tc>
          <w:tcPr>
            <w:tcW w:w="2409" w:type="dxa"/>
            <w:vAlign w:val="center"/>
          </w:tcPr>
          <w:p w14:paraId="26898972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EF4B1B" w:rsidRPr="00EF4B1B" w14:paraId="5E0A917A" w14:textId="77777777" w:rsidTr="00E06E79">
        <w:trPr>
          <w:trHeight w:val="340"/>
        </w:trPr>
        <w:tc>
          <w:tcPr>
            <w:tcW w:w="817" w:type="dxa"/>
            <w:vAlign w:val="center"/>
          </w:tcPr>
          <w:p w14:paraId="694FD642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276" w:type="dxa"/>
            <w:vAlign w:val="center"/>
          </w:tcPr>
          <w:p w14:paraId="36DB8D6D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11.02.2022.</w:t>
            </w:r>
          </w:p>
        </w:tc>
        <w:tc>
          <w:tcPr>
            <w:tcW w:w="3402" w:type="dxa"/>
            <w:vAlign w:val="center"/>
          </w:tcPr>
          <w:p w14:paraId="1FCD5435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Bankovna garancija br. 120-49-165609</w:t>
            </w:r>
          </w:p>
        </w:tc>
        <w:tc>
          <w:tcPr>
            <w:tcW w:w="1701" w:type="dxa"/>
            <w:vAlign w:val="center"/>
          </w:tcPr>
          <w:p w14:paraId="23244548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125.000,00 kn</w:t>
            </w:r>
          </w:p>
        </w:tc>
        <w:tc>
          <w:tcPr>
            <w:tcW w:w="2126" w:type="dxa"/>
            <w:vAlign w:val="center"/>
          </w:tcPr>
          <w:p w14:paraId="41828E55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Badurini d.o.o.</w:t>
            </w:r>
          </w:p>
        </w:tc>
        <w:tc>
          <w:tcPr>
            <w:tcW w:w="1843" w:type="dxa"/>
            <w:vAlign w:val="center"/>
          </w:tcPr>
          <w:p w14:paraId="489B2F0A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Uredno ispunjenje ugovora</w:t>
            </w:r>
          </w:p>
        </w:tc>
        <w:tc>
          <w:tcPr>
            <w:tcW w:w="1276" w:type="dxa"/>
            <w:vAlign w:val="center"/>
          </w:tcPr>
          <w:p w14:paraId="04687C83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01.03.2024.</w:t>
            </w:r>
          </w:p>
        </w:tc>
        <w:tc>
          <w:tcPr>
            <w:tcW w:w="2409" w:type="dxa"/>
            <w:vAlign w:val="center"/>
          </w:tcPr>
          <w:p w14:paraId="377D53F4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EF4B1B" w:rsidRPr="00EF4B1B" w14:paraId="1F3165BD" w14:textId="77777777" w:rsidTr="00E06E79">
        <w:trPr>
          <w:trHeight w:val="340"/>
        </w:trPr>
        <w:tc>
          <w:tcPr>
            <w:tcW w:w="817" w:type="dxa"/>
            <w:vAlign w:val="center"/>
          </w:tcPr>
          <w:p w14:paraId="567BED5B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276" w:type="dxa"/>
            <w:vAlign w:val="center"/>
          </w:tcPr>
          <w:p w14:paraId="6B4D9572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29.04.2022.</w:t>
            </w:r>
          </w:p>
        </w:tc>
        <w:tc>
          <w:tcPr>
            <w:tcW w:w="3402" w:type="dxa"/>
            <w:vAlign w:val="center"/>
          </w:tcPr>
          <w:p w14:paraId="1A6B2B01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Bankovna garancija br. 5402290341</w:t>
            </w:r>
          </w:p>
        </w:tc>
        <w:tc>
          <w:tcPr>
            <w:tcW w:w="1701" w:type="dxa"/>
            <w:vAlign w:val="center"/>
          </w:tcPr>
          <w:p w14:paraId="1C5D911E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135.244,28 kn</w:t>
            </w:r>
          </w:p>
        </w:tc>
        <w:tc>
          <w:tcPr>
            <w:tcW w:w="2126" w:type="dxa"/>
            <w:vAlign w:val="center"/>
          </w:tcPr>
          <w:p w14:paraId="4C94F7E0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KMPG Croatia d.o.o.</w:t>
            </w:r>
          </w:p>
        </w:tc>
        <w:tc>
          <w:tcPr>
            <w:tcW w:w="1843" w:type="dxa"/>
            <w:vAlign w:val="center"/>
          </w:tcPr>
          <w:p w14:paraId="09F62D43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Uredno ispunjenje ugovora</w:t>
            </w:r>
          </w:p>
        </w:tc>
        <w:tc>
          <w:tcPr>
            <w:tcW w:w="1276" w:type="dxa"/>
            <w:vAlign w:val="center"/>
          </w:tcPr>
          <w:p w14:paraId="4433117F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26.05.2023.</w:t>
            </w:r>
          </w:p>
        </w:tc>
        <w:tc>
          <w:tcPr>
            <w:tcW w:w="2409" w:type="dxa"/>
            <w:vAlign w:val="center"/>
          </w:tcPr>
          <w:p w14:paraId="76330AC7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EF4B1B" w:rsidRPr="00EF4B1B" w14:paraId="79C79F2D" w14:textId="77777777" w:rsidTr="00E06E79">
        <w:trPr>
          <w:trHeight w:val="340"/>
        </w:trPr>
        <w:tc>
          <w:tcPr>
            <w:tcW w:w="817" w:type="dxa"/>
            <w:shd w:val="clear" w:color="auto" w:fill="D9D9D9" w:themeFill="background1" w:themeFillShade="D9"/>
          </w:tcPr>
          <w:p w14:paraId="4518B770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4B1B">
              <w:rPr>
                <w:rFonts w:ascii="Times New Roman" w:hAnsi="Times New Roman" w:cs="Times New Roman"/>
                <w:b/>
              </w:rPr>
              <w:lastRenderedPageBreak/>
              <w:t>Red. br.</w:t>
            </w:r>
          </w:p>
          <w:p w14:paraId="60420ADE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0A7D5EA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4B1B">
              <w:rPr>
                <w:rFonts w:ascii="Times New Roman" w:hAnsi="Times New Roman" w:cs="Times New Roman"/>
                <w:b/>
              </w:rPr>
              <w:t>Datum izdavanja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1C66819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4B1B">
              <w:rPr>
                <w:rFonts w:ascii="Times New Roman" w:hAnsi="Times New Roman" w:cs="Times New Roman"/>
                <w:b/>
              </w:rPr>
              <w:t>Instrument osiguranja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39444BF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4B1B">
              <w:rPr>
                <w:rFonts w:ascii="Times New Roman" w:hAnsi="Times New Roman" w:cs="Times New Roman"/>
                <w:b/>
              </w:rPr>
              <w:t>Iznos dani/primljeni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A1E4008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4B1B">
              <w:rPr>
                <w:rFonts w:ascii="Times New Roman" w:hAnsi="Times New Roman" w:cs="Times New Roman"/>
                <w:b/>
              </w:rPr>
              <w:t>Primatelj/</w:t>
            </w:r>
          </w:p>
          <w:p w14:paraId="758B5B47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4B1B">
              <w:rPr>
                <w:rFonts w:ascii="Times New Roman" w:hAnsi="Times New Roman" w:cs="Times New Roman"/>
                <w:b/>
              </w:rPr>
              <w:t>davatelj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E39B40A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4B1B">
              <w:rPr>
                <w:rFonts w:ascii="Times New Roman" w:hAnsi="Times New Roman" w:cs="Times New Roman"/>
                <w:b/>
              </w:rPr>
              <w:t>Namjena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6BCF094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4B1B">
              <w:rPr>
                <w:rFonts w:ascii="Times New Roman" w:hAnsi="Times New Roman" w:cs="Times New Roman"/>
                <w:b/>
              </w:rPr>
              <w:t>Rok važenja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9660482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4B1B">
              <w:rPr>
                <w:rFonts w:ascii="Times New Roman" w:hAnsi="Times New Roman" w:cs="Times New Roman"/>
                <w:b/>
              </w:rPr>
              <w:t>Napomena</w:t>
            </w:r>
          </w:p>
        </w:tc>
      </w:tr>
      <w:tr w:rsidR="00EF4B1B" w:rsidRPr="00EF4B1B" w14:paraId="2D12A675" w14:textId="77777777" w:rsidTr="00E06E79">
        <w:trPr>
          <w:trHeight w:val="340"/>
        </w:trPr>
        <w:tc>
          <w:tcPr>
            <w:tcW w:w="817" w:type="dxa"/>
            <w:vAlign w:val="center"/>
          </w:tcPr>
          <w:p w14:paraId="7A328B23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276" w:type="dxa"/>
            <w:vAlign w:val="center"/>
          </w:tcPr>
          <w:p w14:paraId="0010BF6C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02.06.2022.</w:t>
            </w:r>
          </w:p>
        </w:tc>
        <w:tc>
          <w:tcPr>
            <w:tcW w:w="3402" w:type="dxa"/>
            <w:vAlign w:val="center"/>
          </w:tcPr>
          <w:p w14:paraId="1D8C2F89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Bankovna garancija br. 22011100002</w:t>
            </w:r>
          </w:p>
        </w:tc>
        <w:tc>
          <w:tcPr>
            <w:tcW w:w="1701" w:type="dxa"/>
            <w:vAlign w:val="center"/>
          </w:tcPr>
          <w:p w14:paraId="26084F13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71.577,75 kn</w:t>
            </w:r>
          </w:p>
        </w:tc>
        <w:tc>
          <w:tcPr>
            <w:tcW w:w="2126" w:type="dxa"/>
            <w:vAlign w:val="center"/>
          </w:tcPr>
          <w:p w14:paraId="27CE44C6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PricewaterhouseCoopers</w:t>
            </w:r>
            <w:proofErr w:type="spellEnd"/>
            <w:r w:rsidRPr="00EF4B1B">
              <w:rPr>
                <w:rFonts w:ascii="Times New Roman" w:hAnsi="Times New Roman" w:cs="Times New Roman"/>
                <w:sz w:val="18"/>
                <w:szCs w:val="18"/>
              </w:rPr>
              <w:t xml:space="preserve"> d.o.o.</w:t>
            </w:r>
          </w:p>
        </w:tc>
        <w:tc>
          <w:tcPr>
            <w:tcW w:w="1843" w:type="dxa"/>
            <w:vAlign w:val="center"/>
          </w:tcPr>
          <w:p w14:paraId="2F31349A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Uredno ispunjenje ugovora</w:t>
            </w:r>
          </w:p>
        </w:tc>
        <w:tc>
          <w:tcPr>
            <w:tcW w:w="1276" w:type="dxa"/>
            <w:vAlign w:val="center"/>
          </w:tcPr>
          <w:p w14:paraId="0DBBB52A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15.01.2023.</w:t>
            </w:r>
          </w:p>
        </w:tc>
        <w:tc>
          <w:tcPr>
            <w:tcW w:w="2409" w:type="dxa"/>
            <w:vAlign w:val="center"/>
          </w:tcPr>
          <w:p w14:paraId="7521CF17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EF4B1B" w:rsidRPr="00EF4B1B" w14:paraId="70FBD1FB" w14:textId="77777777" w:rsidTr="00E06E79">
        <w:trPr>
          <w:trHeight w:val="340"/>
        </w:trPr>
        <w:tc>
          <w:tcPr>
            <w:tcW w:w="817" w:type="dxa"/>
            <w:vAlign w:val="center"/>
          </w:tcPr>
          <w:p w14:paraId="3F88AF25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276" w:type="dxa"/>
            <w:vAlign w:val="center"/>
          </w:tcPr>
          <w:p w14:paraId="79B3F3B5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24.06.2022.</w:t>
            </w:r>
          </w:p>
        </w:tc>
        <w:tc>
          <w:tcPr>
            <w:tcW w:w="3402" w:type="dxa"/>
            <w:vAlign w:val="center"/>
          </w:tcPr>
          <w:p w14:paraId="07995BB9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Bankovna garancija br. 2224-0-00401</w:t>
            </w:r>
          </w:p>
        </w:tc>
        <w:tc>
          <w:tcPr>
            <w:tcW w:w="1701" w:type="dxa"/>
            <w:vAlign w:val="center"/>
          </w:tcPr>
          <w:p w14:paraId="21606A27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91.000,00 kn</w:t>
            </w:r>
          </w:p>
        </w:tc>
        <w:tc>
          <w:tcPr>
            <w:tcW w:w="2126" w:type="dxa"/>
            <w:vAlign w:val="center"/>
          </w:tcPr>
          <w:p w14:paraId="0AD51883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Cullen International SA</w:t>
            </w:r>
          </w:p>
        </w:tc>
        <w:tc>
          <w:tcPr>
            <w:tcW w:w="1843" w:type="dxa"/>
            <w:vAlign w:val="center"/>
          </w:tcPr>
          <w:p w14:paraId="2C1A11DD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Uredno ispunjenje ugovora</w:t>
            </w:r>
          </w:p>
        </w:tc>
        <w:tc>
          <w:tcPr>
            <w:tcW w:w="1276" w:type="dxa"/>
            <w:vAlign w:val="center"/>
          </w:tcPr>
          <w:p w14:paraId="7F2C0E91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01.07.2025.</w:t>
            </w:r>
          </w:p>
        </w:tc>
        <w:tc>
          <w:tcPr>
            <w:tcW w:w="2409" w:type="dxa"/>
            <w:vAlign w:val="center"/>
          </w:tcPr>
          <w:p w14:paraId="5837D539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EF4B1B" w:rsidRPr="00EF4B1B" w14:paraId="68E380F3" w14:textId="77777777" w:rsidTr="00E06E79">
        <w:trPr>
          <w:trHeight w:val="340"/>
        </w:trPr>
        <w:tc>
          <w:tcPr>
            <w:tcW w:w="817" w:type="dxa"/>
            <w:vAlign w:val="center"/>
          </w:tcPr>
          <w:p w14:paraId="07B38811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276" w:type="dxa"/>
            <w:vAlign w:val="center"/>
          </w:tcPr>
          <w:p w14:paraId="0D77ADA6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28.06.2022.</w:t>
            </w:r>
          </w:p>
        </w:tc>
        <w:tc>
          <w:tcPr>
            <w:tcW w:w="3402" w:type="dxa"/>
            <w:vAlign w:val="center"/>
          </w:tcPr>
          <w:p w14:paraId="434D78FE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Bjanko zadužnica br. OV-6916/2022</w:t>
            </w:r>
          </w:p>
        </w:tc>
        <w:tc>
          <w:tcPr>
            <w:tcW w:w="1701" w:type="dxa"/>
            <w:vAlign w:val="center"/>
          </w:tcPr>
          <w:p w14:paraId="0E279140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80.987,62 kn</w:t>
            </w:r>
          </w:p>
        </w:tc>
        <w:tc>
          <w:tcPr>
            <w:tcW w:w="2126" w:type="dxa"/>
            <w:vAlign w:val="center"/>
          </w:tcPr>
          <w:p w14:paraId="1EFC0A16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KODEKS d.o.o.</w:t>
            </w:r>
          </w:p>
        </w:tc>
        <w:tc>
          <w:tcPr>
            <w:tcW w:w="1843" w:type="dxa"/>
            <w:vAlign w:val="center"/>
          </w:tcPr>
          <w:p w14:paraId="461BAC8F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Otklanjanje nedostataka u jamstvenom roku</w:t>
            </w:r>
          </w:p>
        </w:tc>
        <w:tc>
          <w:tcPr>
            <w:tcW w:w="1276" w:type="dxa"/>
            <w:vAlign w:val="center"/>
          </w:tcPr>
          <w:p w14:paraId="2EB7B720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30.08.2027.</w:t>
            </w:r>
          </w:p>
        </w:tc>
        <w:tc>
          <w:tcPr>
            <w:tcW w:w="2409" w:type="dxa"/>
            <w:vAlign w:val="center"/>
          </w:tcPr>
          <w:p w14:paraId="58F923E9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EF4B1B" w:rsidRPr="00EF4B1B" w14:paraId="1F40C955" w14:textId="77777777" w:rsidTr="00E06E79">
        <w:trPr>
          <w:trHeight w:val="340"/>
        </w:trPr>
        <w:tc>
          <w:tcPr>
            <w:tcW w:w="817" w:type="dxa"/>
            <w:vAlign w:val="center"/>
          </w:tcPr>
          <w:p w14:paraId="7AD6EC46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276" w:type="dxa"/>
            <w:vAlign w:val="center"/>
          </w:tcPr>
          <w:p w14:paraId="22333F41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04.07.2022.</w:t>
            </w:r>
          </w:p>
        </w:tc>
        <w:tc>
          <w:tcPr>
            <w:tcW w:w="3402" w:type="dxa"/>
            <w:vAlign w:val="center"/>
          </w:tcPr>
          <w:p w14:paraId="230E63FA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Bankovna garancija br. 4101075960</w:t>
            </w:r>
          </w:p>
        </w:tc>
        <w:tc>
          <w:tcPr>
            <w:tcW w:w="1701" w:type="dxa"/>
            <w:vAlign w:val="center"/>
          </w:tcPr>
          <w:p w14:paraId="7A1E2C9B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77.688,79 kn</w:t>
            </w:r>
          </w:p>
        </w:tc>
        <w:tc>
          <w:tcPr>
            <w:tcW w:w="2126" w:type="dxa"/>
            <w:vAlign w:val="center"/>
          </w:tcPr>
          <w:p w14:paraId="72A23EC0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KODEKS d.o.o.</w:t>
            </w:r>
          </w:p>
        </w:tc>
        <w:tc>
          <w:tcPr>
            <w:tcW w:w="1843" w:type="dxa"/>
            <w:vAlign w:val="center"/>
          </w:tcPr>
          <w:p w14:paraId="554E431C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Uredno ispunjenje ugovora</w:t>
            </w:r>
          </w:p>
        </w:tc>
        <w:tc>
          <w:tcPr>
            <w:tcW w:w="1276" w:type="dxa"/>
            <w:vAlign w:val="center"/>
          </w:tcPr>
          <w:p w14:paraId="367170A6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20.06.2023.</w:t>
            </w:r>
          </w:p>
        </w:tc>
        <w:tc>
          <w:tcPr>
            <w:tcW w:w="2409" w:type="dxa"/>
            <w:vAlign w:val="center"/>
          </w:tcPr>
          <w:p w14:paraId="38FB643A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EF4B1B" w:rsidRPr="00EF4B1B" w14:paraId="4840DBAD" w14:textId="77777777" w:rsidTr="00E06E79">
        <w:trPr>
          <w:trHeight w:val="340"/>
        </w:trPr>
        <w:tc>
          <w:tcPr>
            <w:tcW w:w="817" w:type="dxa"/>
            <w:vAlign w:val="center"/>
          </w:tcPr>
          <w:p w14:paraId="13788791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276" w:type="dxa"/>
            <w:vAlign w:val="center"/>
          </w:tcPr>
          <w:p w14:paraId="11F5764F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09.09.2019.</w:t>
            </w:r>
          </w:p>
        </w:tc>
        <w:tc>
          <w:tcPr>
            <w:tcW w:w="3402" w:type="dxa"/>
            <w:vAlign w:val="center"/>
          </w:tcPr>
          <w:p w14:paraId="10C863C2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Bjanko zadužnica br. OV-9886/2019</w:t>
            </w:r>
          </w:p>
        </w:tc>
        <w:tc>
          <w:tcPr>
            <w:tcW w:w="1701" w:type="dxa"/>
            <w:vAlign w:val="center"/>
          </w:tcPr>
          <w:p w14:paraId="72A7BFA6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10.000,00 kn</w:t>
            </w:r>
          </w:p>
        </w:tc>
        <w:tc>
          <w:tcPr>
            <w:tcW w:w="2126" w:type="dxa"/>
            <w:vAlign w:val="center"/>
          </w:tcPr>
          <w:p w14:paraId="287029A9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Badurini d.o.o.</w:t>
            </w:r>
          </w:p>
        </w:tc>
        <w:tc>
          <w:tcPr>
            <w:tcW w:w="1843" w:type="dxa"/>
            <w:vAlign w:val="center"/>
          </w:tcPr>
          <w:p w14:paraId="71FAF0AA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Otklanjanje nedostataka u jamstvenom roku</w:t>
            </w:r>
          </w:p>
        </w:tc>
        <w:tc>
          <w:tcPr>
            <w:tcW w:w="1276" w:type="dxa"/>
            <w:vAlign w:val="center"/>
          </w:tcPr>
          <w:p w14:paraId="42EF9368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15.09.2023.</w:t>
            </w:r>
          </w:p>
        </w:tc>
        <w:tc>
          <w:tcPr>
            <w:tcW w:w="2409" w:type="dxa"/>
            <w:vAlign w:val="center"/>
          </w:tcPr>
          <w:p w14:paraId="7BF6DB1D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EF4B1B" w:rsidRPr="00EF4B1B" w14:paraId="70EE6752" w14:textId="77777777" w:rsidTr="00E06E79">
        <w:trPr>
          <w:trHeight w:val="340"/>
        </w:trPr>
        <w:tc>
          <w:tcPr>
            <w:tcW w:w="817" w:type="dxa"/>
            <w:vAlign w:val="center"/>
          </w:tcPr>
          <w:p w14:paraId="7B38444D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1276" w:type="dxa"/>
            <w:vAlign w:val="center"/>
          </w:tcPr>
          <w:p w14:paraId="38A1309D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18.10.2019.</w:t>
            </w:r>
          </w:p>
        </w:tc>
        <w:tc>
          <w:tcPr>
            <w:tcW w:w="3402" w:type="dxa"/>
            <w:vAlign w:val="center"/>
          </w:tcPr>
          <w:p w14:paraId="1AD2CD94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Bjanko zadužnica br. OV-11249/2019</w:t>
            </w:r>
          </w:p>
        </w:tc>
        <w:tc>
          <w:tcPr>
            <w:tcW w:w="1701" w:type="dxa"/>
            <w:vAlign w:val="center"/>
          </w:tcPr>
          <w:p w14:paraId="242578BD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10.000,00 kn</w:t>
            </w:r>
          </w:p>
        </w:tc>
        <w:tc>
          <w:tcPr>
            <w:tcW w:w="2126" w:type="dxa"/>
            <w:vAlign w:val="center"/>
          </w:tcPr>
          <w:p w14:paraId="4C95B98F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Badurini d.o.o.</w:t>
            </w:r>
          </w:p>
        </w:tc>
        <w:tc>
          <w:tcPr>
            <w:tcW w:w="1843" w:type="dxa"/>
            <w:vAlign w:val="center"/>
          </w:tcPr>
          <w:p w14:paraId="26FC870E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Otklanjanje nedostataka u jamstvenom roku</w:t>
            </w:r>
          </w:p>
        </w:tc>
        <w:tc>
          <w:tcPr>
            <w:tcW w:w="1276" w:type="dxa"/>
            <w:vAlign w:val="center"/>
          </w:tcPr>
          <w:p w14:paraId="40D5F156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15.09.2023.</w:t>
            </w:r>
          </w:p>
        </w:tc>
        <w:tc>
          <w:tcPr>
            <w:tcW w:w="2409" w:type="dxa"/>
            <w:vAlign w:val="center"/>
          </w:tcPr>
          <w:p w14:paraId="6A98547E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EF4B1B" w:rsidRPr="00EF4B1B" w14:paraId="6BC4F060" w14:textId="77777777" w:rsidTr="00E06E79">
        <w:trPr>
          <w:trHeight w:val="340"/>
        </w:trPr>
        <w:tc>
          <w:tcPr>
            <w:tcW w:w="817" w:type="dxa"/>
            <w:vAlign w:val="center"/>
          </w:tcPr>
          <w:p w14:paraId="04FEB72B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276" w:type="dxa"/>
            <w:vAlign w:val="center"/>
          </w:tcPr>
          <w:p w14:paraId="3AC5A232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21.11.2019.</w:t>
            </w:r>
          </w:p>
        </w:tc>
        <w:tc>
          <w:tcPr>
            <w:tcW w:w="3402" w:type="dxa"/>
            <w:vAlign w:val="center"/>
          </w:tcPr>
          <w:p w14:paraId="4AEC2D22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Bjanko zadužnica br. OV-12589/2019</w:t>
            </w:r>
          </w:p>
        </w:tc>
        <w:tc>
          <w:tcPr>
            <w:tcW w:w="1701" w:type="dxa"/>
            <w:vAlign w:val="center"/>
          </w:tcPr>
          <w:p w14:paraId="618C4A71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10.000,00 kn</w:t>
            </w:r>
          </w:p>
        </w:tc>
        <w:tc>
          <w:tcPr>
            <w:tcW w:w="2126" w:type="dxa"/>
            <w:vAlign w:val="center"/>
          </w:tcPr>
          <w:p w14:paraId="5E10A9C4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Badurini d.o.o.</w:t>
            </w:r>
          </w:p>
        </w:tc>
        <w:tc>
          <w:tcPr>
            <w:tcW w:w="1843" w:type="dxa"/>
            <w:vAlign w:val="center"/>
          </w:tcPr>
          <w:p w14:paraId="404DA071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Otklanjanje nedostataka u jamstvenom roku</w:t>
            </w:r>
          </w:p>
        </w:tc>
        <w:tc>
          <w:tcPr>
            <w:tcW w:w="1276" w:type="dxa"/>
            <w:vAlign w:val="center"/>
          </w:tcPr>
          <w:p w14:paraId="7D10D987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15.09.2023.</w:t>
            </w:r>
          </w:p>
        </w:tc>
        <w:tc>
          <w:tcPr>
            <w:tcW w:w="2409" w:type="dxa"/>
            <w:vAlign w:val="center"/>
          </w:tcPr>
          <w:p w14:paraId="0A75FF04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EF4B1B" w:rsidRPr="00EF4B1B" w14:paraId="4DB256E5" w14:textId="77777777" w:rsidTr="00E06E79">
        <w:trPr>
          <w:trHeight w:val="340"/>
        </w:trPr>
        <w:tc>
          <w:tcPr>
            <w:tcW w:w="817" w:type="dxa"/>
            <w:vAlign w:val="center"/>
          </w:tcPr>
          <w:p w14:paraId="7D468E5A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1276" w:type="dxa"/>
            <w:vAlign w:val="center"/>
          </w:tcPr>
          <w:p w14:paraId="16D02016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05.07.2021.</w:t>
            </w:r>
          </w:p>
        </w:tc>
        <w:tc>
          <w:tcPr>
            <w:tcW w:w="3402" w:type="dxa"/>
            <w:vAlign w:val="center"/>
          </w:tcPr>
          <w:p w14:paraId="496BBC8A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Bjanko zadužnica br. OV-5234/2021</w:t>
            </w:r>
          </w:p>
        </w:tc>
        <w:tc>
          <w:tcPr>
            <w:tcW w:w="1701" w:type="dxa"/>
            <w:vAlign w:val="center"/>
          </w:tcPr>
          <w:p w14:paraId="452CDE16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98.402,40 kn</w:t>
            </w:r>
          </w:p>
        </w:tc>
        <w:tc>
          <w:tcPr>
            <w:tcW w:w="2126" w:type="dxa"/>
            <w:vAlign w:val="center"/>
          </w:tcPr>
          <w:p w14:paraId="6550D7AB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Badurini d.o.o.</w:t>
            </w:r>
          </w:p>
        </w:tc>
        <w:tc>
          <w:tcPr>
            <w:tcW w:w="1843" w:type="dxa"/>
            <w:vAlign w:val="center"/>
          </w:tcPr>
          <w:p w14:paraId="696EA79D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Otklanjanje nedostataka u jamstvenom roku</w:t>
            </w:r>
          </w:p>
        </w:tc>
        <w:tc>
          <w:tcPr>
            <w:tcW w:w="1276" w:type="dxa"/>
            <w:vAlign w:val="center"/>
          </w:tcPr>
          <w:p w14:paraId="552132D6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15.09.2023.</w:t>
            </w:r>
          </w:p>
        </w:tc>
        <w:tc>
          <w:tcPr>
            <w:tcW w:w="2409" w:type="dxa"/>
            <w:vAlign w:val="center"/>
          </w:tcPr>
          <w:p w14:paraId="75A81ECB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EF4B1B" w:rsidRPr="00EF4B1B" w14:paraId="6C913DA7" w14:textId="77777777" w:rsidTr="00E06E79">
        <w:trPr>
          <w:trHeight w:val="340"/>
        </w:trPr>
        <w:tc>
          <w:tcPr>
            <w:tcW w:w="817" w:type="dxa"/>
            <w:vAlign w:val="center"/>
          </w:tcPr>
          <w:p w14:paraId="4DBC607D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1276" w:type="dxa"/>
            <w:vAlign w:val="center"/>
          </w:tcPr>
          <w:p w14:paraId="4ECE7852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27.09.2022.</w:t>
            </w:r>
          </w:p>
        </w:tc>
        <w:tc>
          <w:tcPr>
            <w:tcW w:w="3402" w:type="dxa"/>
            <w:vAlign w:val="center"/>
          </w:tcPr>
          <w:p w14:paraId="61EAC49E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Bankovna garancija br. 2204005376</w:t>
            </w:r>
          </w:p>
        </w:tc>
        <w:tc>
          <w:tcPr>
            <w:tcW w:w="1701" w:type="dxa"/>
            <w:vAlign w:val="center"/>
          </w:tcPr>
          <w:p w14:paraId="0685D1A5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49.790,60 kn</w:t>
            </w:r>
          </w:p>
        </w:tc>
        <w:tc>
          <w:tcPr>
            <w:tcW w:w="2126" w:type="dxa"/>
            <w:vAlign w:val="center"/>
          </w:tcPr>
          <w:p w14:paraId="56C85E2A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GDi</w:t>
            </w:r>
            <w:proofErr w:type="spellEnd"/>
            <w:r w:rsidRPr="00EF4B1B">
              <w:rPr>
                <w:rFonts w:ascii="Times New Roman" w:hAnsi="Times New Roman" w:cs="Times New Roman"/>
                <w:sz w:val="18"/>
                <w:szCs w:val="18"/>
              </w:rPr>
              <w:t xml:space="preserve"> d.o.o.</w:t>
            </w:r>
          </w:p>
        </w:tc>
        <w:tc>
          <w:tcPr>
            <w:tcW w:w="1843" w:type="dxa"/>
            <w:vAlign w:val="center"/>
          </w:tcPr>
          <w:p w14:paraId="5FD14613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Uredno ispunjenje ugovora</w:t>
            </w:r>
          </w:p>
        </w:tc>
        <w:tc>
          <w:tcPr>
            <w:tcW w:w="1276" w:type="dxa"/>
            <w:vAlign w:val="center"/>
          </w:tcPr>
          <w:p w14:paraId="7A7A386A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31.08.2023.</w:t>
            </w:r>
          </w:p>
        </w:tc>
        <w:tc>
          <w:tcPr>
            <w:tcW w:w="2409" w:type="dxa"/>
            <w:vAlign w:val="center"/>
          </w:tcPr>
          <w:p w14:paraId="3DD341D4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EF4B1B" w:rsidRPr="00EF4B1B" w14:paraId="18FBDB9C" w14:textId="77777777" w:rsidTr="00E06E79">
        <w:trPr>
          <w:trHeight w:val="340"/>
        </w:trPr>
        <w:tc>
          <w:tcPr>
            <w:tcW w:w="817" w:type="dxa"/>
            <w:vAlign w:val="center"/>
          </w:tcPr>
          <w:p w14:paraId="1AF70F21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1276" w:type="dxa"/>
            <w:vAlign w:val="center"/>
          </w:tcPr>
          <w:p w14:paraId="130C285A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04.11.2022.</w:t>
            </w:r>
          </w:p>
        </w:tc>
        <w:tc>
          <w:tcPr>
            <w:tcW w:w="3402" w:type="dxa"/>
            <w:vAlign w:val="center"/>
          </w:tcPr>
          <w:p w14:paraId="5474C37C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Bankovna garancija br. 2204006151</w:t>
            </w:r>
          </w:p>
        </w:tc>
        <w:tc>
          <w:tcPr>
            <w:tcW w:w="1701" w:type="dxa"/>
            <w:vAlign w:val="center"/>
          </w:tcPr>
          <w:p w14:paraId="1E7C4E21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77.800,00 kn</w:t>
            </w:r>
          </w:p>
        </w:tc>
        <w:tc>
          <w:tcPr>
            <w:tcW w:w="2126" w:type="dxa"/>
            <w:vAlign w:val="center"/>
          </w:tcPr>
          <w:p w14:paraId="21CE18EA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Omega software d.o.o.</w:t>
            </w:r>
          </w:p>
        </w:tc>
        <w:tc>
          <w:tcPr>
            <w:tcW w:w="1843" w:type="dxa"/>
            <w:vAlign w:val="center"/>
          </w:tcPr>
          <w:p w14:paraId="7A9E8313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Uredno ispunjenje ugovora</w:t>
            </w:r>
          </w:p>
        </w:tc>
        <w:tc>
          <w:tcPr>
            <w:tcW w:w="1276" w:type="dxa"/>
            <w:vAlign w:val="center"/>
          </w:tcPr>
          <w:p w14:paraId="2E176757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24.05.2023.</w:t>
            </w:r>
          </w:p>
        </w:tc>
        <w:tc>
          <w:tcPr>
            <w:tcW w:w="2409" w:type="dxa"/>
            <w:vAlign w:val="center"/>
          </w:tcPr>
          <w:p w14:paraId="52E43CC3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EF4B1B" w:rsidRPr="00EF4B1B" w14:paraId="0117A026" w14:textId="77777777" w:rsidTr="00E06E79">
        <w:trPr>
          <w:trHeight w:val="340"/>
        </w:trPr>
        <w:tc>
          <w:tcPr>
            <w:tcW w:w="817" w:type="dxa"/>
            <w:vAlign w:val="center"/>
          </w:tcPr>
          <w:p w14:paraId="1124B030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1276" w:type="dxa"/>
            <w:vAlign w:val="center"/>
          </w:tcPr>
          <w:p w14:paraId="4787E3F9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29.11.2022.</w:t>
            </w:r>
          </w:p>
        </w:tc>
        <w:tc>
          <w:tcPr>
            <w:tcW w:w="3402" w:type="dxa"/>
            <w:vAlign w:val="center"/>
          </w:tcPr>
          <w:p w14:paraId="4341ACAF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Bjanko zadužnica br. OV-11106/2022</w:t>
            </w:r>
          </w:p>
        </w:tc>
        <w:tc>
          <w:tcPr>
            <w:tcW w:w="1701" w:type="dxa"/>
            <w:vAlign w:val="center"/>
          </w:tcPr>
          <w:p w14:paraId="498A9EA0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54.370,80 kn</w:t>
            </w:r>
          </w:p>
        </w:tc>
        <w:tc>
          <w:tcPr>
            <w:tcW w:w="2126" w:type="dxa"/>
            <w:vAlign w:val="center"/>
          </w:tcPr>
          <w:p w14:paraId="65F42CED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Mjerne tehnologije d.o.o.</w:t>
            </w:r>
          </w:p>
        </w:tc>
        <w:tc>
          <w:tcPr>
            <w:tcW w:w="1843" w:type="dxa"/>
            <w:vAlign w:val="center"/>
          </w:tcPr>
          <w:p w14:paraId="636C60E7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Otklanjanje nedostataka u jamstvenom roku</w:t>
            </w:r>
          </w:p>
        </w:tc>
        <w:tc>
          <w:tcPr>
            <w:tcW w:w="1276" w:type="dxa"/>
            <w:vAlign w:val="center"/>
          </w:tcPr>
          <w:p w14:paraId="4FCE71D5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16.12.2027.</w:t>
            </w:r>
          </w:p>
        </w:tc>
        <w:tc>
          <w:tcPr>
            <w:tcW w:w="2409" w:type="dxa"/>
            <w:vAlign w:val="center"/>
          </w:tcPr>
          <w:p w14:paraId="3DF1D225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EF4B1B" w:rsidRPr="00EF4B1B" w14:paraId="1FEC6FD6" w14:textId="77777777" w:rsidTr="00E06E79">
        <w:trPr>
          <w:trHeight w:val="340"/>
        </w:trPr>
        <w:tc>
          <w:tcPr>
            <w:tcW w:w="817" w:type="dxa"/>
            <w:vAlign w:val="center"/>
          </w:tcPr>
          <w:p w14:paraId="026788F5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1276" w:type="dxa"/>
            <w:vAlign w:val="center"/>
          </w:tcPr>
          <w:p w14:paraId="58FDC67E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07.12.2022.</w:t>
            </w:r>
          </w:p>
        </w:tc>
        <w:tc>
          <w:tcPr>
            <w:tcW w:w="3402" w:type="dxa"/>
            <w:vAlign w:val="center"/>
          </w:tcPr>
          <w:p w14:paraId="1AB4AA8D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Bankovno jamstvo br. 541034</w:t>
            </w:r>
          </w:p>
        </w:tc>
        <w:tc>
          <w:tcPr>
            <w:tcW w:w="1701" w:type="dxa"/>
            <w:vAlign w:val="center"/>
          </w:tcPr>
          <w:p w14:paraId="1FFF9521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55.380,09 kn</w:t>
            </w:r>
          </w:p>
        </w:tc>
        <w:tc>
          <w:tcPr>
            <w:tcW w:w="2126" w:type="dxa"/>
            <w:vAlign w:val="center"/>
          </w:tcPr>
          <w:p w14:paraId="2B08C56B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KODEKS d.o.o.</w:t>
            </w:r>
          </w:p>
        </w:tc>
        <w:tc>
          <w:tcPr>
            <w:tcW w:w="1843" w:type="dxa"/>
            <w:vAlign w:val="center"/>
          </w:tcPr>
          <w:p w14:paraId="0A8A56B7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Uredno ispunjenje ugovora</w:t>
            </w:r>
          </w:p>
        </w:tc>
        <w:tc>
          <w:tcPr>
            <w:tcW w:w="1276" w:type="dxa"/>
            <w:vAlign w:val="center"/>
          </w:tcPr>
          <w:p w14:paraId="782D70D6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25.11.2023.</w:t>
            </w:r>
          </w:p>
        </w:tc>
        <w:tc>
          <w:tcPr>
            <w:tcW w:w="2409" w:type="dxa"/>
            <w:vAlign w:val="center"/>
          </w:tcPr>
          <w:p w14:paraId="024EB117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B1B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EF4B1B" w:rsidRPr="00EF4B1B" w14:paraId="0E1C4B0F" w14:textId="77777777" w:rsidTr="00E06E79">
        <w:trPr>
          <w:trHeight w:val="479"/>
        </w:trPr>
        <w:tc>
          <w:tcPr>
            <w:tcW w:w="817" w:type="dxa"/>
            <w:vAlign w:val="center"/>
          </w:tcPr>
          <w:p w14:paraId="4C8B2C3A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2C827E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5096D1F2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B1B">
              <w:rPr>
                <w:rFonts w:ascii="Times New Roman" w:hAnsi="Times New Roman" w:cs="Times New Roman"/>
                <w:b/>
                <w:sz w:val="22"/>
                <w:szCs w:val="22"/>
              </w:rPr>
              <w:t>UKUPNO</w:t>
            </w:r>
          </w:p>
        </w:tc>
        <w:tc>
          <w:tcPr>
            <w:tcW w:w="1701" w:type="dxa"/>
            <w:vAlign w:val="center"/>
          </w:tcPr>
          <w:p w14:paraId="45011744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EF4B1B">
              <w:rPr>
                <w:rFonts w:ascii="Times New Roman" w:hAnsi="Times New Roman" w:cs="Times New Roman"/>
                <w:b/>
                <w:sz w:val="22"/>
                <w:szCs w:val="22"/>
              </w:rPr>
              <w:t>7.754.116,11 kn</w:t>
            </w:r>
          </w:p>
        </w:tc>
        <w:tc>
          <w:tcPr>
            <w:tcW w:w="2126" w:type="dxa"/>
            <w:vAlign w:val="center"/>
          </w:tcPr>
          <w:p w14:paraId="55E66A30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3848F27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F748B3C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50E3BE4" w14:textId="77777777" w:rsidR="00EF4B1B" w:rsidRPr="00EF4B1B" w:rsidRDefault="00EF4B1B" w:rsidP="00EF4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829BC5E" w14:textId="77777777" w:rsidR="00EF4B1B" w:rsidRDefault="00EF4B1B" w:rsidP="00EF4B1B">
      <w:pPr>
        <w:rPr>
          <w:rFonts w:eastAsiaTheme="minorHAnsi"/>
          <w:b/>
          <w:sz w:val="28"/>
          <w:szCs w:val="28"/>
          <w:lang w:eastAsia="en-US"/>
        </w:rPr>
      </w:pPr>
    </w:p>
    <w:p w14:paraId="2A6F156F" w14:textId="77777777" w:rsidR="00EF4B1B" w:rsidRDefault="00EF4B1B" w:rsidP="00E06E79">
      <w:pPr>
        <w:rPr>
          <w:rFonts w:eastAsiaTheme="minorHAnsi"/>
          <w:b/>
          <w:sz w:val="28"/>
          <w:szCs w:val="28"/>
          <w:lang w:eastAsia="en-US"/>
        </w:rPr>
      </w:pPr>
    </w:p>
    <w:p w14:paraId="036FD998" w14:textId="77777777" w:rsidR="00E53520" w:rsidRDefault="00E53520" w:rsidP="00E53520">
      <w:pPr>
        <w:rPr>
          <w:rFonts w:eastAsiaTheme="minorHAnsi"/>
          <w:b/>
          <w:sz w:val="28"/>
          <w:szCs w:val="28"/>
          <w:lang w:eastAsia="en-US"/>
        </w:rPr>
      </w:pPr>
    </w:p>
    <w:p w14:paraId="2290370E" w14:textId="77777777" w:rsidR="00225DA2" w:rsidRPr="00DA2E87" w:rsidRDefault="00225DA2" w:rsidP="00E53520">
      <w:pPr>
        <w:rPr>
          <w:rFonts w:eastAsiaTheme="minorHAnsi"/>
          <w:b/>
          <w:sz w:val="28"/>
          <w:szCs w:val="28"/>
          <w:lang w:eastAsia="en-US"/>
        </w:rPr>
      </w:pPr>
    </w:p>
    <w:p w14:paraId="1AA38821" w14:textId="77777777" w:rsidR="000D7AE2" w:rsidRDefault="000D7AE2" w:rsidP="00E53520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74FB4CFF" w14:textId="77777777" w:rsidR="00E53520" w:rsidRDefault="00E53520" w:rsidP="00E53520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A2E87">
        <w:rPr>
          <w:rFonts w:eastAsiaTheme="minorHAnsi"/>
          <w:b/>
          <w:sz w:val="28"/>
          <w:szCs w:val="28"/>
          <w:lang w:eastAsia="en-US"/>
        </w:rPr>
        <w:t>POPIS SUDSKIH SPOROVA U TIJEKU</w:t>
      </w:r>
    </w:p>
    <w:p w14:paraId="1801DDB8" w14:textId="77777777" w:rsidR="000D7AE2" w:rsidRPr="00DA2E87" w:rsidRDefault="000D7AE2" w:rsidP="00E53520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7C5B5FD" w14:textId="77777777" w:rsidR="00E53520" w:rsidRDefault="00E53520" w:rsidP="00E53520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TableGrid5"/>
        <w:tblW w:w="14709" w:type="dxa"/>
        <w:tblLayout w:type="fixed"/>
        <w:tblLook w:val="04A0" w:firstRow="1" w:lastRow="0" w:firstColumn="1" w:lastColumn="0" w:noHBand="0" w:noVBand="1"/>
      </w:tblPr>
      <w:tblGrid>
        <w:gridCol w:w="704"/>
        <w:gridCol w:w="2098"/>
        <w:gridCol w:w="2126"/>
        <w:gridCol w:w="2126"/>
        <w:gridCol w:w="1559"/>
        <w:gridCol w:w="1701"/>
        <w:gridCol w:w="4395"/>
      </w:tblGrid>
      <w:tr w:rsidR="000D7AE2" w:rsidRPr="000D7AE2" w14:paraId="1DBFE882" w14:textId="77777777" w:rsidTr="00246565">
        <w:tc>
          <w:tcPr>
            <w:tcW w:w="704" w:type="dxa"/>
            <w:shd w:val="clear" w:color="auto" w:fill="D9D9D9" w:themeFill="background1" w:themeFillShade="D9"/>
          </w:tcPr>
          <w:p w14:paraId="1205CD36" w14:textId="77777777" w:rsidR="000D7AE2" w:rsidRPr="000D7AE2" w:rsidRDefault="000D7AE2" w:rsidP="000D7A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AE2">
              <w:rPr>
                <w:rFonts w:ascii="Times New Roman" w:hAnsi="Times New Roman" w:cs="Times New Roman"/>
                <w:b/>
              </w:rPr>
              <w:t>Red.</w:t>
            </w:r>
          </w:p>
          <w:p w14:paraId="039E582D" w14:textId="77777777" w:rsidR="000D7AE2" w:rsidRPr="000D7AE2" w:rsidRDefault="000D7AE2" w:rsidP="000D7A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AE2">
              <w:rPr>
                <w:rFonts w:ascii="Times New Roman" w:hAnsi="Times New Roman" w:cs="Times New Roman"/>
                <w:b/>
              </w:rPr>
              <w:t>br.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6CA97BBB" w14:textId="77777777" w:rsidR="000D7AE2" w:rsidRPr="000D7AE2" w:rsidRDefault="000D7AE2" w:rsidP="000D7A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AE2">
              <w:rPr>
                <w:rFonts w:ascii="Times New Roman" w:hAnsi="Times New Roman" w:cs="Times New Roman"/>
                <w:b/>
              </w:rPr>
              <w:t>Sudska oznaka predmeta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CFC966A" w14:textId="77777777" w:rsidR="000D7AE2" w:rsidRPr="000D7AE2" w:rsidRDefault="000D7AE2" w:rsidP="000D7A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AE2">
              <w:rPr>
                <w:rFonts w:ascii="Times New Roman" w:hAnsi="Times New Roman" w:cs="Times New Roman"/>
                <w:b/>
              </w:rPr>
              <w:t>Vrsta tužbenog zahtjeva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123467C" w14:textId="77777777" w:rsidR="000D7AE2" w:rsidRPr="000D7AE2" w:rsidRDefault="000D7AE2" w:rsidP="000D7A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AE2">
              <w:rPr>
                <w:rFonts w:ascii="Times New Roman" w:hAnsi="Times New Roman" w:cs="Times New Roman"/>
                <w:b/>
              </w:rPr>
              <w:t>Procjena financijskog učinka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153E50F" w14:textId="77777777" w:rsidR="000D7AE2" w:rsidRPr="000D7AE2" w:rsidRDefault="000D7AE2" w:rsidP="000D7A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AE2">
              <w:rPr>
                <w:rFonts w:ascii="Times New Roman" w:hAnsi="Times New Roman" w:cs="Times New Roman"/>
                <w:b/>
              </w:rPr>
              <w:t>Tuženik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A87140B" w14:textId="65E5E0BC" w:rsidR="000D7AE2" w:rsidRPr="000D7AE2" w:rsidRDefault="000D7AE2" w:rsidP="000D7A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AE2">
              <w:rPr>
                <w:rFonts w:ascii="Times New Roman" w:hAnsi="Times New Roman" w:cs="Times New Roman"/>
                <w:b/>
              </w:rPr>
              <w:t>Tužitelj/</w:t>
            </w:r>
            <w:proofErr w:type="spellStart"/>
            <w:r w:rsidRPr="000D7AE2">
              <w:rPr>
                <w:rFonts w:ascii="Times New Roman" w:hAnsi="Times New Roman" w:cs="Times New Roman"/>
                <w:b/>
              </w:rPr>
              <w:t>ica</w:t>
            </w:r>
            <w:proofErr w:type="spellEnd"/>
            <w:r w:rsidR="00731E82">
              <w:rPr>
                <w:rStyle w:val="FootnoteReference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7B18A82F" w14:textId="77777777" w:rsidR="000D7AE2" w:rsidRPr="000D7AE2" w:rsidRDefault="000D7AE2" w:rsidP="000D7A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AE2">
              <w:rPr>
                <w:rFonts w:ascii="Times New Roman" w:hAnsi="Times New Roman" w:cs="Times New Roman"/>
                <w:b/>
              </w:rPr>
              <w:t>Tijek postupka/</w:t>
            </w:r>
          </w:p>
          <w:p w14:paraId="7BF915A2" w14:textId="77777777" w:rsidR="000D7AE2" w:rsidRPr="000D7AE2" w:rsidRDefault="000D7AE2" w:rsidP="000D7A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AE2">
              <w:rPr>
                <w:rFonts w:ascii="Times New Roman" w:hAnsi="Times New Roman" w:cs="Times New Roman"/>
                <w:b/>
              </w:rPr>
              <w:t>Procijenjeno vrijeme priljeva i odljeva sredstava</w:t>
            </w:r>
          </w:p>
        </w:tc>
      </w:tr>
      <w:tr w:rsidR="00731E82" w:rsidRPr="000D7AE2" w14:paraId="2871E522" w14:textId="77777777" w:rsidTr="00246565">
        <w:tc>
          <w:tcPr>
            <w:tcW w:w="704" w:type="dxa"/>
          </w:tcPr>
          <w:p w14:paraId="6647720E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2098" w:type="dxa"/>
          </w:tcPr>
          <w:p w14:paraId="5DEF7114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Klasa: 114-02/14-01/10</w:t>
            </w:r>
          </w:p>
          <w:p w14:paraId="45D1FEFB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Pr-9642/2014</w:t>
            </w:r>
          </w:p>
          <w:p w14:paraId="242FC08C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Gž</w:t>
            </w:r>
            <w:proofErr w:type="spellEnd"/>
            <w:r w:rsidRPr="000D7AE2">
              <w:rPr>
                <w:rFonts w:ascii="Times New Roman" w:hAnsi="Times New Roman" w:cs="Times New Roman"/>
                <w:sz w:val="18"/>
                <w:szCs w:val="18"/>
              </w:rPr>
              <w:t xml:space="preserve"> R-2241/2016</w:t>
            </w:r>
          </w:p>
          <w:p w14:paraId="56FA7AC6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Revr-501/2018</w:t>
            </w:r>
          </w:p>
        </w:tc>
        <w:tc>
          <w:tcPr>
            <w:tcW w:w="2126" w:type="dxa"/>
          </w:tcPr>
          <w:p w14:paraId="6244D572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Radi isplate</w:t>
            </w:r>
          </w:p>
        </w:tc>
        <w:tc>
          <w:tcPr>
            <w:tcW w:w="2126" w:type="dxa"/>
          </w:tcPr>
          <w:p w14:paraId="05BD5640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92.612,73 kn</w:t>
            </w:r>
          </w:p>
        </w:tc>
        <w:tc>
          <w:tcPr>
            <w:tcW w:w="1559" w:type="dxa"/>
          </w:tcPr>
          <w:p w14:paraId="4BA294F0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1701" w:type="dxa"/>
          </w:tcPr>
          <w:p w14:paraId="3738A42A" w14:textId="79D98FF9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XY-1</w:t>
            </w:r>
          </w:p>
        </w:tc>
        <w:tc>
          <w:tcPr>
            <w:tcW w:w="4395" w:type="dxa"/>
          </w:tcPr>
          <w:p w14:paraId="12FEA518" w14:textId="77777777" w:rsidR="00731E82" w:rsidRPr="000D7AE2" w:rsidRDefault="00731E82" w:rsidP="00731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29.09.2016. – presuda Općinskog radnog suda u Zagrebu,</w:t>
            </w:r>
          </w:p>
          <w:p w14:paraId="4E104849" w14:textId="77777777" w:rsidR="00731E82" w:rsidRPr="000D7AE2" w:rsidRDefault="00731E82" w:rsidP="00731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03.10.2016. – izjavljena žalba tužitelja,</w:t>
            </w:r>
          </w:p>
          <w:p w14:paraId="61B1E5B2" w14:textId="77777777" w:rsidR="00731E82" w:rsidRPr="000D7AE2" w:rsidRDefault="00731E82" w:rsidP="00731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02.02.2018. – Županijski sud u Zagrebu odbio žalbu tužitelja i potvrdio prvostupanjsku presudu,</w:t>
            </w:r>
          </w:p>
          <w:p w14:paraId="00C5BAF4" w14:textId="77777777" w:rsidR="00731E82" w:rsidRPr="000D7AE2" w:rsidRDefault="00731E82" w:rsidP="00731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15.05.2018. – izjavljena revizija tužitelja – Vrhovni sud Republike Hrvatske,</w:t>
            </w:r>
          </w:p>
          <w:p w14:paraId="3CA1DB96" w14:textId="77777777" w:rsidR="00731E82" w:rsidRPr="000D7AE2" w:rsidRDefault="00731E82" w:rsidP="00731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2023. – procijenjeno vrijeme priljeva i odljeva sredstava.</w:t>
            </w:r>
          </w:p>
        </w:tc>
      </w:tr>
      <w:tr w:rsidR="00731E82" w:rsidRPr="000D7AE2" w14:paraId="191482A1" w14:textId="77777777" w:rsidTr="00246565">
        <w:tc>
          <w:tcPr>
            <w:tcW w:w="704" w:type="dxa"/>
          </w:tcPr>
          <w:p w14:paraId="34700DE9" w14:textId="77777777" w:rsidR="00731E82" w:rsidRPr="000D7AE2" w:rsidDel="0086202E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098" w:type="dxa"/>
          </w:tcPr>
          <w:p w14:paraId="49D28533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Klasa: 114-02/15-01/03</w:t>
            </w:r>
          </w:p>
          <w:p w14:paraId="2C4CE266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Pr-8/2015</w:t>
            </w:r>
          </w:p>
          <w:p w14:paraId="1C9639F9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Gž</w:t>
            </w:r>
            <w:proofErr w:type="spellEnd"/>
            <w:r w:rsidRPr="000D7AE2">
              <w:rPr>
                <w:rFonts w:ascii="Times New Roman" w:hAnsi="Times New Roman" w:cs="Times New Roman"/>
                <w:sz w:val="18"/>
                <w:szCs w:val="18"/>
              </w:rPr>
              <w:t xml:space="preserve"> R-252/2017</w:t>
            </w:r>
          </w:p>
          <w:p w14:paraId="4A3AD3E8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Gž</w:t>
            </w:r>
            <w:proofErr w:type="spellEnd"/>
            <w:r w:rsidRPr="000D7AE2">
              <w:rPr>
                <w:rFonts w:ascii="Times New Roman" w:hAnsi="Times New Roman" w:cs="Times New Roman"/>
                <w:sz w:val="18"/>
                <w:szCs w:val="18"/>
              </w:rPr>
              <w:t xml:space="preserve"> R-243/2019</w:t>
            </w:r>
          </w:p>
          <w:p w14:paraId="4DE04BF0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Rev-2229/2019</w:t>
            </w:r>
          </w:p>
        </w:tc>
        <w:tc>
          <w:tcPr>
            <w:tcW w:w="2126" w:type="dxa"/>
          </w:tcPr>
          <w:p w14:paraId="30CE1C2B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Radi diskriminacije</w:t>
            </w:r>
          </w:p>
        </w:tc>
        <w:tc>
          <w:tcPr>
            <w:tcW w:w="2126" w:type="dxa"/>
          </w:tcPr>
          <w:p w14:paraId="6E1B5943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Nije određena</w:t>
            </w:r>
          </w:p>
        </w:tc>
        <w:tc>
          <w:tcPr>
            <w:tcW w:w="1559" w:type="dxa"/>
          </w:tcPr>
          <w:p w14:paraId="2A3C4FA9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1701" w:type="dxa"/>
          </w:tcPr>
          <w:p w14:paraId="66C8C4A8" w14:textId="6F809E6A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XY-2</w:t>
            </w:r>
          </w:p>
        </w:tc>
        <w:tc>
          <w:tcPr>
            <w:tcW w:w="4395" w:type="dxa"/>
          </w:tcPr>
          <w:p w14:paraId="3F2D5F10" w14:textId="77777777" w:rsidR="00731E82" w:rsidRPr="000D7AE2" w:rsidRDefault="00731E82" w:rsidP="00731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20.06.2017. – presuda Općinskog radnog suda u Zagrebu,</w:t>
            </w:r>
          </w:p>
          <w:p w14:paraId="4AA4B038" w14:textId="77777777" w:rsidR="00731E82" w:rsidRPr="000D7AE2" w:rsidRDefault="00731E82" w:rsidP="00731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29.06.2017. – izjavljena žalba tužiteljice,</w:t>
            </w:r>
          </w:p>
          <w:p w14:paraId="2B093228" w14:textId="77777777" w:rsidR="00731E82" w:rsidRPr="000D7AE2" w:rsidRDefault="00731E82" w:rsidP="00731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03.07.2018. – presuda – prihvaćena žalba – djelomično preinačena 1. st. presuda,</w:t>
            </w:r>
          </w:p>
          <w:p w14:paraId="1AD5EBE5" w14:textId="77777777" w:rsidR="00731E82" w:rsidRPr="000D7AE2" w:rsidRDefault="00731E82" w:rsidP="00731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20.08.2018. – izjavljena revizija tužiteljice – Vrhovni sud Republike Hrvatske,</w:t>
            </w:r>
          </w:p>
          <w:p w14:paraId="1BC76EFC" w14:textId="77777777" w:rsidR="00731E82" w:rsidRPr="000D7AE2" w:rsidRDefault="00731E82" w:rsidP="00731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01.07.2019. – rješenje – prihvaćena žalba – ukinuto 1. st. rješenje,</w:t>
            </w:r>
          </w:p>
          <w:p w14:paraId="4CF97544" w14:textId="77777777" w:rsidR="00731E82" w:rsidRPr="000D7AE2" w:rsidRDefault="00731E82" w:rsidP="00731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2023. – procijenjeno vrijeme priljeva i odljeva sredstava.</w:t>
            </w:r>
          </w:p>
        </w:tc>
      </w:tr>
      <w:tr w:rsidR="00731E82" w:rsidRPr="000D7AE2" w14:paraId="6282B0F8" w14:textId="77777777" w:rsidTr="00246565">
        <w:tc>
          <w:tcPr>
            <w:tcW w:w="704" w:type="dxa"/>
          </w:tcPr>
          <w:p w14:paraId="42E4148F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</w:p>
        </w:tc>
        <w:tc>
          <w:tcPr>
            <w:tcW w:w="2098" w:type="dxa"/>
          </w:tcPr>
          <w:p w14:paraId="42F58306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Klasa: 114-02/17-01/03</w:t>
            </w:r>
          </w:p>
          <w:p w14:paraId="5FB0452F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Pr-1201/2017</w:t>
            </w:r>
          </w:p>
        </w:tc>
        <w:tc>
          <w:tcPr>
            <w:tcW w:w="2126" w:type="dxa"/>
          </w:tcPr>
          <w:p w14:paraId="085B0B46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 xml:space="preserve">Statusno </w:t>
            </w:r>
          </w:p>
          <w:p w14:paraId="27CC1ED3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(radi diskriminacije)</w:t>
            </w:r>
          </w:p>
        </w:tc>
        <w:tc>
          <w:tcPr>
            <w:tcW w:w="2126" w:type="dxa"/>
          </w:tcPr>
          <w:p w14:paraId="5CC74670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47.035,42 kn</w:t>
            </w:r>
          </w:p>
        </w:tc>
        <w:tc>
          <w:tcPr>
            <w:tcW w:w="1559" w:type="dxa"/>
          </w:tcPr>
          <w:p w14:paraId="63E622F5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1701" w:type="dxa"/>
          </w:tcPr>
          <w:p w14:paraId="0ED7FCE7" w14:textId="1C1A1663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XY-3</w:t>
            </w:r>
          </w:p>
        </w:tc>
        <w:tc>
          <w:tcPr>
            <w:tcW w:w="4395" w:type="dxa"/>
          </w:tcPr>
          <w:p w14:paraId="0F0DF2FA" w14:textId="77777777" w:rsidR="00731E82" w:rsidRPr="000D7AE2" w:rsidRDefault="00731E82" w:rsidP="00731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23.06.2017. – tužba – Općinski radni sud u Zagrebu,</w:t>
            </w:r>
          </w:p>
          <w:p w14:paraId="252F181F" w14:textId="77777777" w:rsidR="00731E82" w:rsidRPr="000D7AE2" w:rsidRDefault="00731E82" w:rsidP="00731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04.11.2021. – održano ročište za glavnu raspravu,</w:t>
            </w:r>
          </w:p>
          <w:p w14:paraId="1ABD12B0" w14:textId="77777777" w:rsidR="00731E82" w:rsidRPr="000D7AE2" w:rsidRDefault="00731E82" w:rsidP="00731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2023. – procijenjeno vrijeme priljeva i odljeva sredstava.</w:t>
            </w:r>
          </w:p>
        </w:tc>
      </w:tr>
      <w:tr w:rsidR="00731E82" w:rsidRPr="000D7AE2" w14:paraId="3EAFA88D" w14:textId="77777777" w:rsidTr="00246565">
        <w:tc>
          <w:tcPr>
            <w:tcW w:w="704" w:type="dxa"/>
          </w:tcPr>
          <w:p w14:paraId="4ACBFB6D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</w:p>
        </w:tc>
        <w:tc>
          <w:tcPr>
            <w:tcW w:w="2098" w:type="dxa"/>
          </w:tcPr>
          <w:p w14:paraId="0E795C91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Klasa: 114-02/16-01/01</w:t>
            </w:r>
          </w:p>
          <w:p w14:paraId="60E0E397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Pr-1141/2016</w:t>
            </w:r>
          </w:p>
          <w:p w14:paraId="2E880B8C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Pr-3065/2019</w:t>
            </w:r>
          </w:p>
        </w:tc>
        <w:tc>
          <w:tcPr>
            <w:tcW w:w="2126" w:type="dxa"/>
          </w:tcPr>
          <w:p w14:paraId="342FBEB8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 xml:space="preserve">Statusno </w:t>
            </w:r>
          </w:p>
          <w:p w14:paraId="26B46FEA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(radi diskriminacije)</w:t>
            </w:r>
          </w:p>
        </w:tc>
        <w:tc>
          <w:tcPr>
            <w:tcW w:w="2126" w:type="dxa"/>
          </w:tcPr>
          <w:p w14:paraId="73361A07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240.800,00 kn</w:t>
            </w:r>
          </w:p>
        </w:tc>
        <w:tc>
          <w:tcPr>
            <w:tcW w:w="1559" w:type="dxa"/>
          </w:tcPr>
          <w:p w14:paraId="7D917D51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1701" w:type="dxa"/>
          </w:tcPr>
          <w:p w14:paraId="51819984" w14:textId="4A7DC592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XY-4</w:t>
            </w:r>
          </w:p>
        </w:tc>
        <w:tc>
          <w:tcPr>
            <w:tcW w:w="4395" w:type="dxa"/>
          </w:tcPr>
          <w:p w14:paraId="73EB37FD" w14:textId="77777777" w:rsidR="00731E82" w:rsidRPr="000D7AE2" w:rsidRDefault="00731E82" w:rsidP="00731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13.05.2016. – tužba – Općinski radni sud u Zagrebu,</w:t>
            </w:r>
          </w:p>
          <w:p w14:paraId="21CFD95A" w14:textId="77777777" w:rsidR="00731E82" w:rsidRPr="000D7AE2" w:rsidRDefault="00731E82" w:rsidP="00731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17.03.2023. – zakazana rasprava,</w:t>
            </w:r>
          </w:p>
          <w:p w14:paraId="3DD20FA9" w14:textId="77777777" w:rsidR="00731E82" w:rsidRPr="000D7AE2" w:rsidRDefault="00731E82" w:rsidP="00731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2023. – procijenjeno vrijeme priljeva i odljeva sredstava.</w:t>
            </w:r>
          </w:p>
        </w:tc>
      </w:tr>
      <w:tr w:rsidR="00731E82" w:rsidRPr="000D7AE2" w14:paraId="3684166F" w14:textId="77777777" w:rsidTr="00246565">
        <w:tc>
          <w:tcPr>
            <w:tcW w:w="704" w:type="dxa"/>
          </w:tcPr>
          <w:p w14:paraId="73E2011C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098" w:type="dxa"/>
          </w:tcPr>
          <w:p w14:paraId="405191D9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Klasa: 114-02/17-01/04</w:t>
            </w:r>
          </w:p>
          <w:p w14:paraId="14550348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Pr-1551/2017</w:t>
            </w:r>
          </w:p>
        </w:tc>
        <w:tc>
          <w:tcPr>
            <w:tcW w:w="2126" w:type="dxa"/>
          </w:tcPr>
          <w:p w14:paraId="1C6BA5A5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 xml:space="preserve">Statusno </w:t>
            </w:r>
          </w:p>
          <w:p w14:paraId="68BE5F2A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(radi nedopuštenosti otkaza)</w:t>
            </w:r>
          </w:p>
        </w:tc>
        <w:tc>
          <w:tcPr>
            <w:tcW w:w="2126" w:type="dxa"/>
          </w:tcPr>
          <w:p w14:paraId="6A55BF3F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430.560,00 kn</w:t>
            </w:r>
          </w:p>
          <w:p w14:paraId="7696D0CA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2D4CDB9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1701" w:type="dxa"/>
          </w:tcPr>
          <w:p w14:paraId="08E4DAE6" w14:textId="7250949F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XY-5</w:t>
            </w:r>
          </w:p>
        </w:tc>
        <w:tc>
          <w:tcPr>
            <w:tcW w:w="4395" w:type="dxa"/>
          </w:tcPr>
          <w:p w14:paraId="4EAE4EDE" w14:textId="77777777" w:rsidR="00731E82" w:rsidRPr="000D7AE2" w:rsidRDefault="00731E82" w:rsidP="00731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11.08.2017. – tužba – Općinski radni sud u Zagrebu,</w:t>
            </w:r>
          </w:p>
          <w:p w14:paraId="10148606" w14:textId="77777777" w:rsidR="00731E82" w:rsidRPr="000D7AE2" w:rsidRDefault="00731E82" w:rsidP="00731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27.09.2018. – rješenje Općinskog radnog suda u Zagrebu – prekid postupka do pravomoćnosti postupka koji se vodi pod poslovnim brojem Pr-1201/2017,</w:t>
            </w:r>
          </w:p>
          <w:p w14:paraId="7E6652D1" w14:textId="77777777" w:rsidR="00731E82" w:rsidRPr="000D7AE2" w:rsidRDefault="00731E82" w:rsidP="00731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2023. – procijenjeno vrijeme priljeva i odljeva sredstava.</w:t>
            </w:r>
          </w:p>
        </w:tc>
      </w:tr>
      <w:tr w:rsidR="000D7AE2" w:rsidRPr="000D7AE2" w14:paraId="5F3FB5A1" w14:textId="77777777" w:rsidTr="00246565">
        <w:tc>
          <w:tcPr>
            <w:tcW w:w="704" w:type="dxa"/>
            <w:shd w:val="clear" w:color="auto" w:fill="D9D9D9" w:themeFill="background1" w:themeFillShade="D9"/>
          </w:tcPr>
          <w:p w14:paraId="045D7991" w14:textId="77777777" w:rsidR="000D7AE2" w:rsidRPr="000D7AE2" w:rsidRDefault="000D7AE2" w:rsidP="000D7A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AE2">
              <w:rPr>
                <w:rFonts w:ascii="Times New Roman" w:hAnsi="Times New Roman" w:cs="Times New Roman"/>
                <w:b/>
              </w:rPr>
              <w:lastRenderedPageBreak/>
              <w:t>Red.</w:t>
            </w:r>
          </w:p>
          <w:p w14:paraId="110D6FF8" w14:textId="77777777" w:rsidR="000D7AE2" w:rsidRPr="000D7AE2" w:rsidRDefault="000D7AE2" w:rsidP="000D7A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AE2">
              <w:rPr>
                <w:rFonts w:ascii="Times New Roman" w:hAnsi="Times New Roman" w:cs="Times New Roman"/>
                <w:b/>
              </w:rPr>
              <w:t>br.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4B8D2ABA" w14:textId="77777777" w:rsidR="000D7AE2" w:rsidRPr="000D7AE2" w:rsidRDefault="000D7AE2" w:rsidP="000D7A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AE2">
              <w:rPr>
                <w:rFonts w:ascii="Times New Roman" w:hAnsi="Times New Roman" w:cs="Times New Roman"/>
                <w:b/>
              </w:rPr>
              <w:t>Sudska oznaka predmeta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1ACECCD" w14:textId="77777777" w:rsidR="000D7AE2" w:rsidRPr="000D7AE2" w:rsidRDefault="000D7AE2" w:rsidP="000D7A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AE2">
              <w:rPr>
                <w:rFonts w:ascii="Times New Roman" w:hAnsi="Times New Roman" w:cs="Times New Roman"/>
                <w:b/>
              </w:rPr>
              <w:t>Vrsta tužbenog zahtjeva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2053608" w14:textId="77777777" w:rsidR="000D7AE2" w:rsidRPr="000D7AE2" w:rsidRDefault="000D7AE2" w:rsidP="000D7A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AE2">
              <w:rPr>
                <w:rFonts w:ascii="Times New Roman" w:hAnsi="Times New Roman" w:cs="Times New Roman"/>
                <w:b/>
              </w:rPr>
              <w:t>Procjena financijskog učinka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CF6CEA3" w14:textId="77777777" w:rsidR="000D7AE2" w:rsidRPr="000D7AE2" w:rsidRDefault="000D7AE2" w:rsidP="000D7A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AE2">
              <w:rPr>
                <w:rFonts w:ascii="Times New Roman" w:hAnsi="Times New Roman" w:cs="Times New Roman"/>
                <w:b/>
              </w:rPr>
              <w:t>Tuženik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3622C1E" w14:textId="77777777" w:rsidR="000D7AE2" w:rsidRPr="000D7AE2" w:rsidRDefault="000D7AE2" w:rsidP="000D7A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AE2">
              <w:rPr>
                <w:rFonts w:ascii="Times New Roman" w:hAnsi="Times New Roman" w:cs="Times New Roman"/>
                <w:b/>
              </w:rPr>
              <w:t>Tužitelj/</w:t>
            </w:r>
            <w:proofErr w:type="spellStart"/>
            <w:r w:rsidRPr="000D7AE2">
              <w:rPr>
                <w:rFonts w:ascii="Times New Roman" w:hAnsi="Times New Roman" w:cs="Times New Roman"/>
                <w:b/>
              </w:rPr>
              <w:t>ica</w:t>
            </w:r>
            <w:proofErr w:type="spellEnd"/>
          </w:p>
        </w:tc>
        <w:tc>
          <w:tcPr>
            <w:tcW w:w="4395" w:type="dxa"/>
            <w:shd w:val="clear" w:color="auto" w:fill="D9D9D9" w:themeFill="background1" w:themeFillShade="D9"/>
          </w:tcPr>
          <w:p w14:paraId="084339C4" w14:textId="77777777" w:rsidR="000D7AE2" w:rsidRPr="000D7AE2" w:rsidRDefault="000D7AE2" w:rsidP="000D7A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AE2">
              <w:rPr>
                <w:rFonts w:ascii="Times New Roman" w:hAnsi="Times New Roman" w:cs="Times New Roman"/>
                <w:b/>
              </w:rPr>
              <w:t>Tijek postupka/</w:t>
            </w:r>
          </w:p>
          <w:p w14:paraId="160BD6E4" w14:textId="77777777" w:rsidR="000D7AE2" w:rsidRPr="000D7AE2" w:rsidRDefault="000D7AE2" w:rsidP="000D7A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AE2">
              <w:rPr>
                <w:rFonts w:ascii="Times New Roman" w:hAnsi="Times New Roman" w:cs="Times New Roman"/>
                <w:b/>
              </w:rPr>
              <w:t>Procijenjeno vrijeme priljeva i odljeva sredstava</w:t>
            </w:r>
          </w:p>
        </w:tc>
      </w:tr>
      <w:tr w:rsidR="00731E82" w:rsidRPr="000D7AE2" w14:paraId="458FFE13" w14:textId="77777777" w:rsidTr="00246565">
        <w:tc>
          <w:tcPr>
            <w:tcW w:w="704" w:type="dxa"/>
          </w:tcPr>
          <w:p w14:paraId="2A27C24C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098" w:type="dxa"/>
            <w:shd w:val="clear" w:color="auto" w:fill="FFFFFF" w:themeFill="background1"/>
          </w:tcPr>
          <w:p w14:paraId="5255AB29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Klasa: 114-02/18-01/04</w:t>
            </w:r>
          </w:p>
          <w:p w14:paraId="3B941DA9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Pr-4809/2018</w:t>
            </w:r>
          </w:p>
          <w:p w14:paraId="3C42A719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Gž</w:t>
            </w:r>
            <w:proofErr w:type="spellEnd"/>
            <w:r w:rsidRPr="000D7AE2">
              <w:rPr>
                <w:rFonts w:ascii="Times New Roman" w:hAnsi="Times New Roman" w:cs="Times New Roman"/>
                <w:sz w:val="18"/>
                <w:szCs w:val="18"/>
              </w:rPr>
              <w:t xml:space="preserve"> R-1123/2019</w:t>
            </w:r>
          </w:p>
          <w:p w14:paraId="64114797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Pr-6942/2020</w:t>
            </w:r>
          </w:p>
          <w:p w14:paraId="05F46013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Gž</w:t>
            </w:r>
            <w:proofErr w:type="spellEnd"/>
            <w:r w:rsidRPr="000D7AE2">
              <w:rPr>
                <w:rFonts w:ascii="Times New Roman" w:hAnsi="Times New Roman" w:cs="Times New Roman"/>
                <w:sz w:val="18"/>
                <w:szCs w:val="18"/>
              </w:rPr>
              <w:t xml:space="preserve"> R-1810/2021</w:t>
            </w:r>
          </w:p>
          <w:p w14:paraId="0B1661D1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Rev-332/2022</w:t>
            </w:r>
          </w:p>
        </w:tc>
        <w:tc>
          <w:tcPr>
            <w:tcW w:w="2126" w:type="dxa"/>
            <w:shd w:val="clear" w:color="auto" w:fill="FFFFFF" w:themeFill="background1"/>
          </w:tcPr>
          <w:p w14:paraId="74B34924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 xml:space="preserve">Statusno </w:t>
            </w:r>
          </w:p>
          <w:p w14:paraId="1D09EF74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(utvrđenje radnog odnosa)</w:t>
            </w:r>
          </w:p>
        </w:tc>
        <w:tc>
          <w:tcPr>
            <w:tcW w:w="2126" w:type="dxa"/>
            <w:shd w:val="clear" w:color="auto" w:fill="FFFFFF" w:themeFill="background1"/>
          </w:tcPr>
          <w:p w14:paraId="2133F4E8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Nije određena</w:t>
            </w:r>
          </w:p>
        </w:tc>
        <w:tc>
          <w:tcPr>
            <w:tcW w:w="1559" w:type="dxa"/>
            <w:shd w:val="clear" w:color="auto" w:fill="FFFFFF" w:themeFill="background1"/>
          </w:tcPr>
          <w:p w14:paraId="614731DC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1701" w:type="dxa"/>
            <w:shd w:val="clear" w:color="auto" w:fill="FFFFFF" w:themeFill="background1"/>
          </w:tcPr>
          <w:p w14:paraId="0350AD00" w14:textId="58A4EA61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XY-6</w:t>
            </w:r>
          </w:p>
        </w:tc>
        <w:tc>
          <w:tcPr>
            <w:tcW w:w="4395" w:type="dxa"/>
            <w:shd w:val="clear" w:color="auto" w:fill="FFFFFF" w:themeFill="background1"/>
          </w:tcPr>
          <w:p w14:paraId="490997F1" w14:textId="77777777" w:rsidR="00731E82" w:rsidRPr="000D7AE2" w:rsidRDefault="00731E82" w:rsidP="00731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16.05.2019. – presuda Općinskog radnog suda u Zagrebu,</w:t>
            </w:r>
          </w:p>
          <w:p w14:paraId="1016C236" w14:textId="77777777" w:rsidR="00731E82" w:rsidRPr="000D7AE2" w:rsidRDefault="00731E82" w:rsidP="00731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27.05.2019. – izjavljena žalba tužitelja,</w:t>
            </w:r>
          </w:p>
          <w:p w14:paraId="54254AF0" w14:textId="77777777" w:rsidR="00731E82" w:rsidRPr="000D7AE2" w:rsidRDefault="00731E82" w:rsidP="00731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19.05.2020. – rješenje Županijskog suda u Zagrebu – ukinuta 1.st. presuda i predmet vraćen na ponovno suđenje,</w:t>
            </w:r>
          </w:p>
          <w:p w14:paraId="35B8B14E" w14:textId="77777777" w:rsidR="00731E82" w:rsidRPr="000D7AE2" w:rsidRDefault="00731E82" w:rsidP="00731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30.11.2021. – Županijski sud u Zagrebu – presuda – odbijena žalba HAKOM-a,</w:t>
            </w:r>
          </w:p>
          <w:p w14:paraId="0976C831" w14:textId="77777777" w:rsidR="00731E82" w:rsidRPr="000D7AE2" w:rsidRDefault="00731E82" w:rsidP="00731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28.03.2022. – prijedlog HAKOM-a za dopuštenje revizije – Vrhovni sud Republike Hrvatske,</w:t>
            </w: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CEAC4E3" w14:textId="77777777" w:rsidR="00731E82" w:rsidRPr="000D7AE2" w:rsidRDefault="00731E82" w:rsidP="00731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2025. – procijenjeno vrijeme priljeva i odljeva sredstava.</w:t>
            </w:r>
          </w:p>
        </w:tc>
      </w:tr>
      <w:tr w:rsidR="00731E82" w:rsidRPr="000D7AE2" w14:paraId="532328C4" w14:textId="77777777" w:rsidTr="00246565">
        <w:tc>
          <w:tcPr>
            <w:tcW w:w="704" w:type="dxa"/>
          </w:tcPr>
          <w:p w14:paraId="4012EEED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098" w:type="dxa"/>
            <w:shd w:val="clear" w:color="auto" w:fill="FFFFFF" w:themeFill="background1"/>
          </w:tcPr>
          <w:p w14:paraId="3164D3A3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Klasa: 114-02/19-01/05</w:t>
            </w:r>
          </w:p>
          <w:p w14:paraId="0417F061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Pr-1813/2019</w:t>
            </w:r>
          </w:p>
          <w:p w14:paraId="256D7CC0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Gž</w:t>
            </w:r>
            <w:proofErr w:type="spellEnd"/>
            <w:r w:rsidRPr="000D7AE2">
              <w:rPr>
                <w:rFonts w:ascii="Times New Roman" w:hAnsi="Times New Roman" w:cs="Times New Roman"/>
                <w:sz w:val="18"/>
                <w:szCs w:val="18"/>
              </w:rPr>
              <w:t xml:space="preserve"> R-1364/2021</w:t>
            </w:r>
          </w:p>
          <w:p w14:paraId="74579E79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Pr-1813/2022 – promijenjen upisnik</w:t>
            </w:r>
          </w:p>
        </w:tc>
        <w:tc>
          <w:tcPr>
            <w:tcW w:w="2126" w:type="dxa"/>
            <w:shd w:val="clear" w:color="auto" w:fill="FFFFFF" w:themeFill="background1"/>
          </w:tcPr>
          <w:p w14:paraId="60678828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 xml:space="preserve">Statusno </w:t>
            </w:r>
          </w:p>
          <w:p w14:paraId="7EDF5EA3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(utvrđenje radnog odnosa)</w:t>
            </w:r>
          </w:p>
        </w:tc>
        <w:tc>
          <w:tcPr>
            <w:tcW w:w="2126" w:type="dxa"/>
            <w:shd w:val="clear" w:color="auto" w:fill="FFFFFF" w:themeFill="background1"/>
          </w:tcPr>
          <w:p w14:paraId="5A3E99EF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Nije određena</w:t>
            </w:r>
          </w:p>
        </w:tc>
        <w:tc>
          <w:tcPr>
            <w:tcW w:w="1559" w:type="dxa"/>
            <w:shd w:val="clear" w:color="auto" w:fill="FFFFFF" w:themeFill="background1"/>
          </w:tcPr>
          <w:p w14:paraId="2EA45671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1701" w:type="dxa"/>
            <w:shd w:val="clear" w:color="auto" w:fill="FFFFFF" w:themeFill="background1"/>
          </w:tcPr>
          <w:p w14:paraId="7195071D" w14:textId="75823B78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XY-7</w:t>
            </w:r>
          </w:p>
        </w:tc>
        <w:tc>
          <w:tcPr>
            <w:tcW w:w="4395" w:type="dxa"/>
            <w:shd w:val="clear" w:color="auto" w:fill="FFFFFF" w:themeFill="background1"/>
          </w:tcPr>
          <w:p w14:paraId="7D3ECA1C" w14:textId="77777777" w:rsidR="00731E82" w:rsidRPr="000D7AE2" w:rsidRDefault="00731E82" w:rsidP="00731E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20.05.2019. – prvostupanjski postupak u tijeku – Općinski radni sud u Zagrebu,</w:t>
            </w:r>
          </w:p>
          <w:p w14:paraId="6CDC87A2" w14:textId="77777777" w:rsidR="00731E82" w:rsidRPr="000D7AE2" w:rsidRDefault="00731E82" w:rsidP="00731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24.11.2021. – Županijski sud u Splitu – rješenje –  odbijena žalba kao neosnovana – potvrđeno rješenje o prekidu postupka Općinskog radnog suda u Zagrebu od 20.08.2021.,</w:t>
            </w:r>
          </w:p>
          <w:p w14:paraId="634C4E9B" w14:textId="77777777" w:rsidR="00731E82" w:rsidRPr="000D7AE2" w:rsidRDefault="00731E82" w:rsidP="00731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17.01.2023. – zakazana rasprava</w:t>
            </w:r>
          </w:p>
          <w:p w14:paraId="01707AC9" w14:textId="77777777" w:rsidR="00731E82" w:rsidRPr="000D7AE2" w:rsidRDefault="00731E82" w:rsidP="00731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2025. – procijenjeno vrijeme priljeva i odljeva sredstava.</w:t>
            </w:r>
          </w:p>
        </w:tc>
      </w:tr>
      <w:tr w:rsidR="00731E82" w:rsidRPr="000D7AE2" w14:paraId="784EFA83" w14:textId="77777777" w:rsidTr="00246565">
        <w:tc>
          <w:tcPr>
            <w:tcW w:w="704" w:type="dxa"/>
          </w:tcPr>
          <w:p w14:paraId="06DFC671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 xml:space="preserve">8. </w:t>
            </w:r>
          </w:p>
        </w:tc>
        <w:tc>
          <w:tcPr>
            <w:tcW w:w="2098" w:type="dxa"/>
            <w:shd w:val="clear" w:color="auto" w:fill="FFFFFF" w:themeFill="background1"/>
          </w:tcPr>
          <w:p w14:paraId="51CC96D2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Klasa: 114-02/18-01/04</w:t>
            </w:r>
          </w:p>
          <w:p w14:paraId="30C2D1DA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Pr-1562/2022</w:t>
            </w:r>
          </w:p>
          <w:p w14:paraId="3CF970B0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864D745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Radno</w:t>
            </w:r>
          </w:p>
          <w:p w14:paraId="5FA348E8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(prestanak, otkaz, utvrđenje radnog odnosa)</w:t>
            </w:r>
          </w:p>
        </w:tc>
        <w:tc>
          <w:tcPr>
            <w:tcW w:w="2126" w:type="dxa"/>
            <w:shd w:val="clear" w:color="auto" w:fill="FFFFFF" w:themeFill="background1"/>
          </w:tcPr>
          <w:p w14:paraId="1630DA21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Nije određena</w:t>
            </w:r>
          </w:p>
        </w:tc>
        <w:tc>
          <w:tcPr>
            <w:tcW w:w="1559" w:type="dxa"/>
            <w:shd w:val="clear" w:color="auto" w:fill="FFFFFF" w:themeFill="background1"/>
          </w:tcPr>
          <w:p w14:paraId="6B2CE267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1701" w:type="dxa"/>
            <w:shd w:val="clear" w:color="auto" w:fill="FFFFFF" w:themeFill="background1"/>
          </w:tcPr>
          <w:p w14:paraId="33F66F06" w14:textId="5B2D7336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XY-8</w:t>
            </w:r>
          </w:p>
        </w:tc>
        <w:tc>
          <w:tcPr>
            <w:tcW w:w="4395" w:type="dxa"/>
            <w:shd w:val="clear" w:color="auto" w:fill="FFFFFF" w:themeFill="background1"/>
          </w:tcPr>
          <w:p w14:paraId="100DF859" w14:textId="77777777" w:rsidR="00731E82" w:rsidRPr="000D7AE2" w:rsidRDefault="00731E82" w:rsidP="00731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14.07.2022. – tužba – Općinski radni sud u Zagrebu,</w:t>
            </w:r>
          </w:p>
          <w:p w14:paraId="02FD2688" w14:textId="77777777" w:rsidR="00731E82" w:rsidRPr="000D7AE2" w:rsidRDefault="00731E82" w:rsidP="00731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04.04.2023. – zakazana rasprava,</w:t>
            </w:r>
          </w:p>
          <w:p w14:paraId="44BBEBB9" w14:textId="77777777" w:rsidR="00731E82" w:rsidRPr="000D7AE2" w:rsidRDefault="00731E82" w:rsidP="00731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2025. – procijenjeno vrijeme priljeva i odljeva sredstava.</w:t>
            </w:r>
          </w:p>
        </w:tc>
      </w:tr>
      <w:tr w:rsidR="00731E82" w:rsidRPr="000D7AE2" w14:paraId="72C21793" w14:textId="77777777" w:rsidTr="00246565">
        <w:tc>
          <w:tcPr>
            <w:tcW w:w="704" w:type="dxa"/>
          </w:tcPr>
          <w:p w14:paraId="08ED706D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 xml:space="preserve">9. </w:t>
            </w:r>
          </w:p>
        </w:tc>
        <w:tc>
          <w:tcPr>
            <w:tcW w:w="2098" w:type="dxa"/>
            <w:shd w:val="clear" w:color="auto" w:fill="FFFFFF" w:themeFill="background1"/>
          </w:tcPr>
          <w:p w14:paraId="17FEAA64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Klasa: 740-01/22-01/39</w:t>
            </w:r>
          </w:p>
          <w:p w14:paraId="1FDB78ED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Pr-2027/2022</w:t>
            </w:r>
          </w:p>
        </w:tc>
        <w:tc>
          <w:tcPr>
            <w:tcW w:w="2126" w:type="dxa"/>
            <w:shd w:val="clear" w:color="auto" w:fill="FFFFFF" w:themeFill="background1"/>
          </w:tcPr>
          <w:p w14:paraId="41BAD139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 xml:space="preserve">Radno materijalna davanja </w:t>
            </w:r>
          </w:p>
          <w:p w14:paraId="36F9493B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(isplata)</w:t>
            </w:r>
          </w:p>
        </w:tc>
        <w:tc>
          <w:tcPr>
            <w:tcW w:w="2126" w:type="dxa"/>
            <w:shd w:val="clear" w:color="auto" w:fill="FFFFFF" w:themeFill="background1"/>
          </w:tcPr>
          <w:p w14:paraId="147B27E4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279.247,05 kn</w:t>
            </w:r>
          </w:p>
        </w:tc>
        <w:tc>
          <w:tcPr>
            <w:tcW w:w="1559" w:type="dxa"/>
            <w:shd w:val="clear" w:color="auto" w:fill="FFFFFF" w:themeFill="background1"/>
          </w:tcPr>
          <w:p w14:paraId="53B605EE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1701" w:type="dxa"/>
            <w:shd w:val="clear" w:color="auto" w:fill="FFFFFF" w:themeFill="background1"/>
          </w:tcPr>
          <w:p w14:paraId="090E6CD5" w14:textId="7FDC8940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XY-9</w:t>
            </w:r>
          </w:p>
        </w:tc>
        <w:tc>
          <w:tcPr>
            <w:tcW w:w="4395" w:type="dxa"/>
            <w:shd w:val="clear" w:color="auto" w:fill="FFFFFF" w:themeFill="background1"/>
          </w:tcPr>
          <w:p w14:paraId="0971D40A" w14:textId="77777777" w:rsidR="00731E82" w:rsidRPr="000D7AE2" w:rsidRDefault="00731E82" w:rsidP="00731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17.10.2022. – tužba – Općinski radni sud u Zagrebu,</w:t>
            </w:r>
          </w:p>
          <w:p w14:paraId="6EE040FF" w14:textId="77777777" w:rsidR="00731E82" w:rsidRPr="000D7AE2" w:rsidRDefault="00731E82" w:rsidP="00731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17.02.2023. – zakazana rasprava,</w:t>
            </w:r>
          </w:p>
          <w:p w14:paraId="2C2A6DC6" w14:textId="77777777" w:rsidR="00731E82" w:rsidRPr="000D7AE2" w:rsidRDefault="00731E82" w:rsidP="00731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2025. – procijenjeno vrijeme priljeva i odljeva sredstava.</w:t>
            </w:r>
          </w:p>
        </w:tc>
      </w:tr>
      <w:tr w:rsidR="00731E82" w:rsidRPr="000D7AE2" w14:paraId="39D9AA64" w14:textId="77777777" w:rsidTr="00246565">
        <w:tc>
          <w:tcPr>
            <w:tcW w:w="704" w:type="dxa"/>
          </w:tcPr>
          <w:p w14:paraId="1B0F49A8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098" w:type="dxa"/>
            <w:shd w:val="clear" w:color="auto" w:fill="FFFFFF" w:themeFill="background1"/>
          </w:tcPr>
          <w:p w14:paraId="34897132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Klasa: 114-02/18-01/04</w:t>
            </w:r>
          </w:p>
          <w:p w14:paraId="17C869BA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Ovr-931/2022</w:t>
            </w:r>
          </w:p>
          <w:p w14:paraId="7E8CC0E2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Gž</w:t>
            </w:r>
            <w:proofErr w:type="spellEnd"/>
            <w:r w:rsidRPr="000D7AE2">
              <w:rPr>
                <w:rFonts w:ascii="Times New Roman" w:hAnsi="Times New Roman" w:cs="Times New Roman"/>
                <w:sz w:val="18"/>
                <w:szCs w:val="18"/>
              </w:rPr>
              <w:t xml:space="preserve"> Ovr-1330/2022</w:t>
            </w:r>
          </w:p>
        </w:tc>
        <w:tc>
          <w:tcPr>
            <w:tcW w:w="2126" w:type="dxa"/>
            <w:shd w:val="clear" w:color="auto" w:fill="FFFFFF" w:themeFill="background1"/>
          </w:tcPr>
          <w:p w14:paraId="78D0A6C5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Ovrha radi vraćanja na rad odnosno u službu</w:t>
            </w:r>
          </w:p>
        </w:tc>
        <w:tc>
          <w:tcPr>
            <w:tcW w:w="2126" w:type="dxa"/>
            <w:shd w:val="clear" w:color="auto" w:fill="FFFFFF" w:themeFill="background1"/>
          </w:tcPr>
          <w:p w14:paraId="779AB964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Nije određena</w:t>
            </w:r>
          </w:p>
        </w:tc>
        <w:tc>
          <w:tcPr>
            <w:tcW w:w="1559" w:type="dxa"/>
            <w:shd w:val="clear" w:color="auto" w:fill="FFFFFF" w:themeFill="background1"/>
          </w:tcPr>
          <w:p w14:paraId="05C72BD7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1701" w:type="dxa"/>
            <w:shd w:val="clear" w:color="auto" w:fill="FFFFFF" w:themeFill="background1"/>
          </w:tcPr>
          <w:p w14:paraId="44E989FB" w14:textId="3576B86D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XY-10</w:t>
            </w:r>
          </w:p>
        </w:tc>
        <w:tc>
          <w:tcPr>
            <w:tcW w:w="4395" w:type="dxa"/>
            <w:shd w:val="clear" w:color="auto" w:fill="FFFFFF" w:themeFill="background1"/>
          </w:tcPr>
          <w:p w14:paraId="4E5F48D6" w14:textId="77777777" w:rsidR="00731E82" w:rsidRPr="000D7AE2" w:rsidRDefault="00731E82" w:rsidP="00731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24.03.2022. – prijedlog za ovrhu – Općinski građanski sud u Zagrebu,</w:t>
            </w:r>
          </w:p>
          <w:p w14:paraId="387A0DBD" w14:textId="77777777" w:rsidR="00731E82" w:rsidRPr="000D7AE2" w:rsidRDefault="00731E82" w:rsidP="00731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09.09.2022. – Županijski sud u Zagrebu rješava o prijedlogu HAKOM-a za obustavu postupka,</w:t>
            </w:r>
          </w:p>
          <w:p w14:paraId="3D6DD6E3" w14:textId="77777777" w:rsidR="00731E82" w:rsidRPr="000D7AE2" w:rsidRDefault="00731E82" w:rsidP="00731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2025. – procijenjeno vrijeme priljeva i odljeva sredstava.</w:t>
            </w:r>
          </w:p>
        </w:tc>
      </w:tr>
      <w:tr w:rsidR="00731E82" w:rsidRPr="000D7AE2" w14:paraId="7612F211" w14:textId="77777777" w:rsidTr="00246565">
        <w:tc>
          <w:tcPr>
            <w:tcW w:w="704" w:type="dxa"/>
          </w:tcPr>
          <w:p w14:paraId="6E6A95B1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098" w:type="dxa"/>
            <w:shd w:val="clear" w:color="auto" w:fill="FFFFFF" w:themeFill="background1"/>
          </w:tcPr>
          <w:p w14:paraId="09FD9F90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Klasa: 114-02/22-01/01</w:t>
            </w:r>
          </w:p>
          <w:p w14:paraId="61DF1F51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Pr-2290/2022</w:t>
            </w:r>
          </w:p>
        </w:tc>
        <w:tc>
          <w:tcPr>
            <w:tcW w:w="2126" w:type="dxa"/>
            <w:shd w:val="clear" w:color="auto" w:fill="FFFFFF" w:themeFill="background1"/>
          </w:tcPr>
          <w:p w14:paraId="47C1559F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Radno</w:t>
            </w:r>
          </w:p>
          <w:p w14:paraId="5EFE7D84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(prestanak, otkaz, utvrđenje radnog odnosa)</w:t>
            </w:r>
          </w:p>
        </w:tc>
        <w:tc>
          <w:tcPr>
            <w:tcW w:w="2126" w:type="dxa"/>
            <w:shd w:val="clear" w:color="auto" w:fill="FFFFFF" w:themeFill="background1"/>
          </w:tcPr>
          <w:p w14:paraId="6422191A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Nije određena</w:t>
            </w:r>
          </w:p>
        </w:tc>
        <w:tc>
          <w:tcPr>
            <w:tcW w:w="1559" w:type="dxa"/>
            <w:shd w:val="clear" w:color="auto" w:fill="FFFFFF" w:themeFill="background1"/>
          </w:tcPr>
          <w:p w14:paraId="0B29E6B8" w14:textId="777777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1701" w:type="dxa"/>
            <w:shd w:val="clear" w:color="auto" w:fill="FFFFFF" w:themeFill="background1"/>
          </w:tcPr>
          <w:p w14:paraId="6184E660" w14:textId="317B2877" w:rsidR="00731E82" w:rsidRPr="000D7AE2" w:rsidRDefault="00731E82" w:rsidP="00731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XY-11</w:t>
            </w:r>
            <w:bookmarkStart w:id="1" w:name="_GoBack"/>
            <w:bookmarkEnd w:id="1"/>
          </w:p>
        </w:tc>
        <w:tc>
          <w:tcPr>
            <w:tcW w:w="4395" w:type="dxa"/>
            <w:shd w:val="clear" w:color="auto" w:fill="FFFFFF" w:themeFill="background1"/>
          </w:tcPr>
          <w:p w14:paraId="4286E04B" w14:textId="77777777" w:rsidR="00731E82" w:rsidRPr="000D7AE2" w:rsidRDefault="00731E82" w:rsidP="00731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10.10.2022. – tužba – Općinski radni sud u Zagrebu,</w:t>
            </w:r>
          </w:p>
          <w:p w14:paraId="4B577AE8" w14:textId="77777777" w:rsidR="00731E82" w:rsidRPr="000D7AE2" w:rsidRDefault="00731E82" w:rsidP="00731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2025. – procijenjeno vrijeme priljeva i odljeva sredstava.</w:t>
            </w:r>
          </w:p>
        </w:tc>
      </w:tr>
      <w:tr w:rsidR="000D7AE2" w:rsidRPr="000D7AE2" w14:paraId="18A445FD" w14:textId="77777777" w:rsidTr="00246565">
        <w:tc>
          <w:tcPr>
            <w:tcW w:w="704" w:type="dxa"/>
            <w:shd w:val="clear" w:color="auto" w:fill="D9D9D9" w:themeFill="background1" w:themeFillShade="D9"/>
          </w:tcPr>
          <w:p w14:paraId="4FDD6392" w14:textId="77777777" w:rsidR="000D7AE2" w:rsidRPr="000D7AE2" w:rsidRDefault="000D7AE2" w:rsidP="000D7A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</w:tcPr>
          <w:p w14:paraId="7B41B95E" w14:textId="77777777" w:rsidR="000D7AE2" w:rsidRPr="000D7AE2" w:rsidRDefault="000D7AE2" w:rsidP="000D7A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371497B" w14:textId="77777777" w:rsidR="000D7AE2" w:rsidRPr="000D7AE2" w:rsidRDefault="000D7AE2" w:rsidP="000D7A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C1CB0C0" w14:textId="77777777" w:rsidR="000D7AE2" w:rsidRPr="000D7AE2" w:rsidRDefault="000D7AE2" w:rsidP="000D7A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b/>
              </w:rPr>
              <w:t>1.090.255,20 kn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3B59104" w14:textId="77777777" w:rsidR="000D7AE2" w:rsidRPr="000D7AE2" w:rsidRDefault="000D7AE2" w:rsidP="000D7A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7890311" w14:textId="77777777" w:rsidR="000D7AE2" w:rsidRPr="000D7AE2" w:rsidRDefault="000D7AE2" w:rsidP="000D7A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14:paraId="0E47A15C" w14:textId="77777777" w:rsidR="000D7AE2" w:rsidRPr="000D7AE2" w:rsidRDefault="000D7AE2" w:rsidP="000D7A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b/>
                <w:sz w:val="18"/>
                <w:szCs w:val="18"/>
              </w:rPr>
              <w:t>NAPOMENA:</w:t>
            </w:r>
          </w:p>
          <w:p w14:paraId="6D05F566" w14:textId="77777777" w:rsidR="000D7AE2" w:rsidRPr="000D7AE2" w:rsidRDefault="000D7AE2" w:rsidP="000D7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AE2">
              <w:rPr>
                <w:rFonts w:ascii="Times New Roman" w:hAnsi="Times New Roman" w:cs="Times New Roman"/>
                <w:sz w:val="18"/>
                <w:szCs w:val="18"/>
              </w:rPr>
              <w:t>uz ukupan iznos procjene financijskog učinka treba računati na kamate i parnične troškove.</w:t>
            </w:r>
          </w:p>
        </w:tc>
      </w:tr>
    </w:tbl>
    <w:p w14:paraId="16307DB5" w14:textId="77777777" w:rsidR="000D7AE2" w:rsidRPr="000D7AE2" w:rsidRDefault="000D7AE2" w:rsidP="000D7AE2">
      <w:pPr>
        <w:rPr>
          <w:rFonts w:eastAsiaTheme="minorHAnsi"/>
          <w:b/>
          <w:sz w:val="28"/>
          <w:szCs w:val="28"/>
          <w:lang w:eastAsia="en-US"/>
        </w:rPr>
      </w:pPr>
    </w:p>
    <w:p w14:paraId="0013A1CA" w14:textId="77777777" w:rsidR="00746C31" w:rsidRDefault="00746C31" w:rsidP="00A65998">
      <w:pPr>
        <w:sectPr w:rsidR="00746C31" w:rsidSect="00746C31">
          <w:pgSz w:w="16838" w:h="11906" w:orient="landscape" w:code="9"/>
          <w:pgMar w:top="1134" w:right="1701" w:bottom="1134" w:left="1559" w:header="340" w:footer="454" w:gutter="0"/>
          <w:cols w:space="708"/>
          <w:docGrid w:linePitch="360"/>
        </w:sectPr>
      </w:pPr>
    </w:p>
    <w:p w14:paraId="5529A6F7" w14:textId="5600EA5F" w:rsidR="001F5A39" w:rsidRPr="007616A7" w:rsidRDefault="00A65998" w:rsidP="001F5A39">
      <w:pPr>
        <w:numPr>
          <w:ilvl w:val="0"/>
          <w:numId w:val="11"/>
        </w:numPr>
        <w:spacing w:after="160" w:line="259" w:lineRule="auto"/>
        <w:ind w:left="426" w:hanging="426"/>
        <w:contextualSpacing/>
        <w:jc w:val="both"/>
        <w:rPr>
          <w:rFonts w:eastAsia="Calibri"/>
          <w:b/>
          <w:lang w:eastAsia="en-US"/>
        </w:rPr>
      </w:pPr>
      <w:r w:rsidRPr="007616A7">
        <w:rPr>
          <w:rFonts w:eastAsia="Calibri"/>
          <w:b/>
          <w:lang w:eastAsia="en-US"/>
        </w:rPr>
        <w:lastRenderedPageBreak/>
        <w:t xml:space="preserve">BILJEŠKE UZ </w:t>
      </w:r>
      <w:r w:rsidR="001F5A39" w:rsidRPr="007616A7">
        <w:rPr>
          <w:rFonts w:eastAsia="Calibri"/>
          <w:b/>
          <w:lang w:eastAsia="en-US"/>
        </w:rPr>
        <w:t xml:space="preserve">IZVJEŠTAJ O RASHODIMA PREMA FUNKCIJSKOJ KLASIFIKACIJI (OBRAZAC RAS – funkcijski)   </w:t>
      </w:r>
    </w:p>
    <w:p w14:paraId="39F73011" w14:textId="77777777" w:rsidR="001F5A39" w:rsidRPr="007616A7" w:rsidRDefault="001F5A39" w:rsidP="001F5A39">
      <w:pPr>
        <w:suppressAutoHyphens/>
        <w:spacing w:after="160" w:line="259" w:lineRule="auto"/>
        <w:ind w:left="426"/>
        <w:contextualSpacing/>
        <w:rPr>
          <w:rFonts w:eastAsia="Calibri"/>
          <w:b/>
          <w:lang w:eastAsia="en-US"/>
        </w:rPr>
      </w:pPr>
    </w:p>
    <w:p w14:paraId="5AFBC9F3" w14:textId="41278BAD" w:rsidR="001F5A39" w:rsidRPr="007616A7" w:rsidRDefault="001F5A39" w:rsidP="00833082">
      <w:pPr>
        <w:suppressAutoHyphens/>
        <w:spacing w:line="259" w:lineRule="auto"/>
        <w:jc w:val="both"/>
        <w:rPr>
          <w:rFonts w:eastAsia="Calibri"/>
          <w:lang w:eastAsia="en-US"/>
        </w:rPr>
      </w:pPr>
      <w:r w:rsidRPr="007616A7">
        <w:rPr>
          <w:rFonts w:eastAsia="Calibri"/>
          <w:lang w:eastAsia="en-US"/>
        </w:rPr>
        <w:t xml:space="preserve">Za izvještajno razdoblje ukupni rashodi poslovanja i rashodi za nabavu nefinancijske imovine iznosili su </w:t>
      </w:r>
      <w:r w:rsidR="005B0D7F" w:rsidRPr="005B0D7F">
        <w:rPr>
          <w:rFonts w:eastAsia="Calibri"/>
          <w:lang w:eastAsia="en-US"/>
        </w:rPr>
        <w:t>94.371.240,30</w:t>
      </w:r>
      <w:r w:rsidRPr="007616A7">
        <w:rPr>
          <w:rFonts w:eastAsia="Calibri"/>
          <w:lang w:eastAsia="en-US"/>
        </w:rPr>
        <w:t xml:space="preserve"> kn, a prikazani su u funkcijskoj klasifikaciji 0486 - Istraživanje i razvoj: Komunikacije – </w:t>
      </w:r>
      <w:r w:rsidR="005B0D7F">
        <w:rPr>
          <w:rFonts w:eastAsia="Calibri"/>
          <w:lang w:eastAsia="en-US"/>
        </w:rPr>
        <w:t>šifra 0486</w:t>
      </w:r>
      <w:r w:rsidRPr="007616A7">
        <w:rPr>
          <w:rFonts w:eastAsia="Calibri"/>
          <w:lang w:eastAsia="en-US"/>
        </w:rPr>
        <w:t>.</w:t>
      </w:r>
      <w:r w:rsidR="00A458D5" w:rsidRPr="007616A7">
        <w:rPr>
          <w:rFonts w:eastAsia="Calibri"/>
          <w:lang w:eastAsia="en-US"/>
        </w:rPr>
        <w:t xml:space="preserve"> </w:t>
      </w:r>
      <w:r w:rsidR="00F75123" w:rsidRPr="007616A7">
        <w:rPr>
          <w:rFonts w:eastAsia="Calibri"/>
          <w:lang w:eastAsia="en-US"/>
        </w:rPr>
        <w:t xml:space="preserve"> </w:t>
      </w:r>
      <w:r w:rsidR="005B0D7F">
        <w:rPr>
          <w:rFonts w:eastAsia="Calibri"/>
          <w:lang w:eastAsia="en-US"/>
        </w:rPr>
        <w:t xml:space="preserve"> </w:t>
      </w:r>
    </w:p>
    <w:p w14:paraId="6993B573" w14:textId="3944986F" w:rsidR="00833082" w:rsidRDefault="00833082" w:rsidP="00833082">
      <w:pPr>
        <w:suppressAutoHyphens/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14:paraId="4D0603E9" w14:textId="77777777" w:rsidR="00833082" w:rsidRPr="007616A7" w:rsidRDefault="00833082" w:rsidP="00833082">
      <w:pPr>
        <w:suppressAutoHyphens/>
        <w:spacing w:line="259" w:lineRule="auto"/>
        <w:jc w:val="both"/>
        <w:rPr>
          <w:rFonts w:eastAsia="Calibri"/>
          <w:lang w:eastAsia="en-US"/>
        </w:rPr>
      </w:pPr>
    </w:p>
    <w:p w14:paraId="1943F19F" w14:textId="00418020" w:rsidR="001F5A39" w:rsidRPr="007616A7" w:rsidRDefault="001F5A39" w:rsidP="00833082">
      <w:pPr>
        <w:numPr>
          <w:ilvl w:val="0"/>
          <w:numId w:val="11"/>
        </w:numPr>
        <w:suppressAutoHyphens/>
        <w:spacing w:line="259" w:lineRule="auto"/>
        <w:ind w:left="426" w:hanging="426"/>
        <w:contextualSpacing/>
        <w:jc w:val="both"/>
        <w:rPr>
          <w:rFonts w:eastAsia="Calibri"/>
          <w:b/>
          <w:lang w:eastAsia="en-US"/>
        </w:rPr>
      </w:pPr>
      <w:r w:rsidRPr="007616A7">
        <w:rPr>
          <w:rFonts w:eastAsia="Calibri"/>
          <w:b/>
          <w:lang w:eastAsia="en-US"/>
        </w:rPr>
        <w:t>BILJEŠKE UZ IZVJEŠTAJ O PROMJENAMA U VRIJEDNOSTI I OB</w:t>
      </w:r>
      <w:r w:rsidR="00307D4B" w:rsidRPr="007616A7">
        <w:rPr>
          <w:rFonts w:eastAsia="Calibri"/>
          <w:b/>
          <w:lang w:eastAsia="en-US"/>
        </w:rPr>
        <w:t>U</w:t>
      </w:r>
      <w:r w:rsidRPr="007616A7">
        <w:rPr>
          <w:rFonts w:eastAsia="Calibri"/>
          <w:b/>
          <w:lang w:eastAsia="en-US"/>
        </w:rPr>
        <w:t xml:space="preserve">JMU IMOVINE I OBVEZA (OBRAZAC P-VRIO)   </w:t>
      </w:r>
    </w:p>
    <w:p w14:paraId="5E991908" w14:textId="77777777" w:rsidR="001F5A39" w:rsidRPr="00941AF0" w:rsidRDefault="001F5A39" w:rsidP="001F5A39">
      <w:pPr>
        <w:suppressAutoHyphens/>
        <w:spacing w:after="160" w:line="259" w:lineRule="auto"/>
        <w:ind w:left="426"/>
        <w:contextualSpacing/>
        <w:rPr>
          <w:rFonts w:eastAsia="Calibri"/>
          <w:b/>
          <w:lang w:eastAsia="en-US"/>
        </w:rPr>
      </w:pPr>
    </w:p>
    <w:p w14:paraId="2473A0A1" w14:textId="5C0D1879" w:rsidR="0014467F" w:rsidRDefault="0014467F" w:rsidP="00032D50">
      <w:pPr>
        <w:suppressAutoHyphens/>
        <w:spacing w:line="259" w:lineRule="auto"/>
        <w:jc w:val="both"/>
        <w:rPr>
          <w:rFonts w:eastAsia="Calibri"/>
          <w:lang w:eastAsia="en-US"/>
        </w:rPr>
      </w:pPr>
      <w:r w:rsidRPr="00941AF0">
        <w:rPr>
          <w:rFonts w:eastAsia="Calibri"/>
          <w:lang w:eastAsia="en-US"/>
        </w:rPr>
        <w:t xml:space="preserve">Smanjenje u vrijednosti imovine u iznosu </w:t>
      </w:r>
      <w:r w:rsidR="00794585" w:rsidRPr="00941AF0">
        <w:rPr>
          <w:rFonts w:eastAsia="Calibri"/>
          <w:lang w:eastAsia="en-US"/>
        </w:rPr>
        <w:t xml:space="preserve">od </w:t>
      </w:r>
      <w:r w:rsidR="00F5089C" w:rsidRPr="00F5089C">
        <w:rPr>
          <w:rFonts w:eastAsia="Calibri"/>
          <w:lang w:eastAsia="en-US"/>
        </w:rPr>
        <w:t>5.358,79</w:t>
      </w:r>
      <w:r w:rsidR="00794585" w:rsidRPr="00941AF0">
        <w:rPr>
          <w:rFonts w:eastAsia="Calibri"/>
          <w:lang w:eastAsia="en-US"/>
        </w:rPr>
        <w:t xml:space="preserve"> kn (</w:t>
      </w:r>
      <w:r w:rsidR="00F5089C">
        <w:rPr>
          <w:rFonts w:eastAsia="Calibri"/>
          <w:lang w:eastAsia="en-US"/>
        </w:rPr>
        <w:t xml:space="preserve">šifra </w:t>
      </w:r>
      <w:r w:rsidR="00F5089C" w:rsidRPr="00F5089C">
        <w:rPr>
          <w:rFonts w:eastAsia="Calibri"/>
          <w:lang w:eastAsia="en-US"/>
        </w:rPr>
        <w:t>P003</w:t>
      </w:r>
      <w:r w:rsidR="00794585" w:rsidRPr="00941AF0">
        <w:rPr>
          <w:rFonts w:eastAsia="Calibri"/>
          <w:lang w:eastAsia="en-US"/>
        </w:rPr>
        <w:t xml:space="preserve">) odnosi </w:t>
      </w:r>
      <w:r w:rsidR="008545E4">
        <w:rPr>
          <w:rFonts w:eastAsia="Calibri"/>
          <w:lang w:eastAsia="en-US"/>
        </w:rPr>
        <w:t xml:space="preserve">se </w:t>
      </w:r>
      <w:r w:rsidR="00794585" w:rsidRPr="00941AF0">
        <w:rPr>
          <w:rFonts w:eastAsia="Calibri"/>
          <w:lang w:eastAsia="en-US"/>
        </w:rPr>
        <w:t xml:space="preserve">na </w:t>
      </w:r>
      <w:r w:rsidR="00995A96" w:rsidRPr="00941AF0">
        <w:rPr>
          <w:rFonts w:eastAsia="Calibri"/>
          <w:lang w:eastAsia="en-US"/>
        </w:rPr>
        <w:t xml:space="preserve">rashodovanje </w:t>
      </w:r>
      <w:r w:rsidR="00995A96" w:rsidRPr="007616A7">
        <w:rPr>
          <w:rFonts w:eastAsia="Calibri"/>
          <w:lang w:eastAsia="en-US"/>
        </w:rPr>
        <w:t>nefinancijske proizvedene dugotrajne imovine</w:t>
      </w:r>
      <w:r w:rsidR="0053611C" w:rsidRPr="007616A7">
        <w:rPr>
          <w:rFonts w:eastAsia="Calibri"/>
          <w:lang w:eastAsia="en-US"/>
        </w:rPr>
        <w:t xml:space="preserve"> koja je zbrinuta kao elektronički otpad.</w:t>
      </w:r>
      <w:r w:rsidR="00F5089C">
        <w:rPr>
          <w:rFonts w:eastAsia="Calibri"/>
          <w:lang w:eastAsia="en-US"/>
        </w:rPr>
        <w:t xml:space="preserve"> </w:t>
      </w:r>
    </w:p>
    <w:p w14:paraId="0EB4BB16" w14:textId="77777777" w:rsidR="00032D50" w:rsidRDefault="00032D50" w:rsidP="00032D50">
      <w:pPr>
        <w:suppressAutoHyphens/>
        <w:spacing w:line="259" w:lineRule="auto"/>
        <w:jc w:val="both"/>
        <w:rPr>
          <w:rFonts w:eastAsia="Calibri"/>
          <w:lang w:eastAsia="en-US"/>
        </w:rPr>
      </w:pPr>
    </w:p>
    <w:p w14:paraId="7063C28B" w14:textId="3C047F6D" w:rsidR="008545E4" w:rsidRDefault="008545E4" w:rsidP="00032D50">
      <w:pPr>
        <w:suppressAutoHyphens/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Povećanje u obujmu nefinancijske imovine u iznosu od 7.000,00 kn (šifra </w:t>
      </w:r>
      <w:r w:rsidRPr="008545E4">
        <w:rPr>
          <w:rFonts w:eastAsia="Calibri"/>
          <w:lang w:eastAsia="en-US"/>
        </w:rPr>
        <w:t>P018</w:t>
      </w:r>
      <w:r>
        <w:rPr>
          <w:rFonts w:eastAsia="Calibri"/>
          <w:lang w:eastAsia="en-US"/>
        </w:rPr>
        <w:t xml:space="preserve">) odnosi se na </w:t>
      </w:r>
      <w:r w:rsidR="0039139E">
        <w:rPr>
          <w:rFonts w:eastAsia="Calibri"/>
          <w:lang w:eastAsia="en-US"/>
        </w:rPr>
        <w:t>i</w:t>
      </w:r>
      <w:r w:rsidR="0039139E" w:rsidRPr="0039139E">
        <w:rPr>
          <w:rFonts w:eastAsia="Calibri"/>
          <w:lang w:eastAsia="en-US"/>
        </w:rPr>
        <w:t xml:space="preserve">nventurom utvrđen višak proizvedene dugotrajne imovine </w:t>
      </w:r>
      <w:r w:rsidR="0039139E">
        <w:rPr>
          <w:rFonts w:eastAsia="Calibri"/>
          <w:lang w:eastAsia="en-US"/>
        </w:rPr>
        <w:t>(</w:t>
      </w:r>
      <w:r w:rsidR="003B1B1D" w:rsidRPr="003B1B1D">
        <w:rPr>
          <w:rFonts w:eastAsia="Calibri"/>
          <w:lang w:eastAsia="en-US"/>
        </w:rPr>
        <w:t xml:space="preserve">UPS </w:t>
      </w:r>
      <w:proofErr w:type="spellStart"/>
      <w:r w:rsidR="003B1B1D" w:rsidRPr="003B1B1D">
        <w:rPr>
          <w:rFonts w:eastAsia="Calibri"/>
          <w:lang w:eastAsia="en-US"/>
        </w:rPr>
        <w:t>Cover</w:t>
      </w:r>
      <w:proofErr w:type="spellEnd"/>
      <w:r w:rsidR="003B1B1D" w:rsidRPr="003B1B1D">
        <w:rPr>
          <w:rFonts w:eastAsia="Calibri"/>
          <w:lang w:eastAsia="en-US"/>
        </w:rPr>
        <w:t xml:space="preserve"> </w:t>
      </w:r>
      <w:proofErr w:type="spellStart"/>
      <w:r w:rsidR="003B1B1D" w:rsidRPr="003B1B1D">
        <w:rPr>
          <w:rFonts w:eastAsia="Calibri"/>
          <w:lang w:eastAsia="en-US"/>
        </w:rPr>
        <w:t>Winter</w:t>
      </w:r>
      <w:proofErr w:type="spellEnd"/>
      <w:r w:rsidR="003B1B1D" w:rsidRPr="003B1B1D">
        <w:rPr>
          <w:rFonts w:eastAsia="Calibri"/>
          <w:lang w:eastAsia="en-US"/>
        </w:rPr>
        <w:t xml:space="preserve"> 3K</w:t>
      </w:r>
      <w:r w:rsidR="003B1B1D">
        <w:rPr>
          <w:rFonts w:eastAsia="Calibri"/>
          <w:lang w:eastAsia="en-US"/>
        </w:rPr>
        <w:t xml:space="preserve">, </w:t>
      </w:r>
      <w:r w:rsidR="003B1B1D" w:rsidRPr="003B1B1D">
        <w:rPr>
          <w:rFonts w:eastAsia="Calibri"/>
          <w:lang w:eastAsia="en-US"/>
        </w:rPr>
        <w:t xml:space="preserve">UPS </w:t>
      </w:r>
      <w:proofErr w:type="spellStart"/>
      <w:r w:rsidR="003B1B1D" w:rsidRPr="003B1B1D">
        <w:rPr>
          <w:rFonts w:eastAsia="Calibri"/>
          <w:lang w:eastAsia="en-US"/>
        </w:rPr>
        <w:t>Chloride</w:t>
      </w:r>
      <w:proofErr w:type="spellEnd"/>
      <w:r w:rsidR="003B1B1D" w:rsidRPr="003B1B1D">
        <w:rPr>
          <w:rFonts w:eastAsia="Calibri"/>
          <w:lang w:eastAsia="en-US"/>
        </w:rPr>
        <w:t xml:space="preserve"> 3000VA</w:t>
      </w:r>
      <w:r w:rsidR="003B1B1D">
        <w:rPr>
          <w:rFonts w:eastAsia="Calibri"/>
          <w:lang w:eastAsia="en-US"/>
        </w:rPr>
        <w:t xml:space="preserve"> i p</w:t>
      </w:r>
      <w:r w:rsidR="003B1B1D" w:rsidRPr="003B1B1D">
        <w:rPr>
          <w:rFonts w:eastAsia="Calibri"/>
          <w:lang w:eastAsia="en-US"/>
        </w:rPr>
        <w:t>rotuprovalni sef</w:t>
      </w:r>
      <w:r w:rsidR="003B1B1D">
        <w:rPr>
          <w:rFonts w:eastAsia="Calibri"/>
          <w:lang w:eastAsia="en-US"/>
        </w:rPr>
        <w:t>).</w:t>
      </w:r>
    </w:p>
    <w:p w14:paraId="586AA3A7" w14:textId="77777777" w:rsidR="008545E4" w:rsidRPr="007616A7" w:rsidRDefault="008545E4" w:rsidP="00032D50">
      <w:pPr>
        <w:suppressAutoHyphens/>
        <w:spacing w:line="259" w:lineRule="auto"/>
        <w:jc w:val="both"/>
        <w:rPr>
          <w:rFonts w:eastAsia="Calibri"/>
          <w:lang w:eastAsia="en-US"/>
        </w:rPr>
      </w:pPr>
    </w:p>
    <w:p w14:paraId="245555C5" w14:textId="40B41A88" w:rsidR="001F5A39" w:rsidRDefault="00B02464" w:rsidP="00833082">
      <w:pPr>
        <w:suppressAutoHyphens/>
        <w:spacing w:line="259" w:lineRule="auto"/>
        <w:jc w:val="both"/>
        <w:rPr>
          <w:rFonts w:eastAsia="Calibri"/>
          <w:lang w:eastAsia="en-US"/>
        </w:rPr>
      </w:pPr>
      <w:r w:rsidRPr="007616A7">
        <w:rPr>
          <w:rFonts w:eastAsia="Calibri"/>
          <w:lang w:eastAsia="en-US"/>
        </w:rPr>
        <w:t>Smanjen</w:t>
      </w:r>
      <w:r w:rsidR="007448D5" w:rsidRPr="007616A7">
        <w:rPr>
          <w:rFonts w:eastAsia="Calibri"/>
          <w:lang w:eastAsia="en-US"/>
        </w:rPr>
        <w:t xml:space="preserve">je u obujmu </w:t>
      </w:r>
      <w:r w:rsidR="00184F36" w:rsidRPr="007616A7">
        <w:rPr>
          <w:rFonts w:eastAsia="Calibri"/>
          <w:lang w:eastAsia="en-US"/>
        </w:rPr>
        <w:t xml:space="preserve">financijske </w:t>
      </w:r>
      <w:r w:rsidR="007448D5" w:rsidRPr="007616A7">
        <w:rPr>
          <w:rFonts w:eastAsia="Calibri"/>
          <w:lang w:eastAsia="en-US"/>
        </w:rPr>
        <w:t xml:space="preserve">imovine u iznosu od </w:t>
      </w:r>
      <w:r w:rsidR="00EC5501" w:rsidRPr="00EC5501">
        <w:rPr>
          <w:rFonts w:eastAsia="Calibri"/>
          <w:lang w:eastAsia="en-US"/>
        </w:rPr>
        <w:t>122.030,02</w:t>
      </w:r>
      <w:r w:rsidR="007448D5" w:rsidRPr="007616A7">
        <w:rPr>
          <w:rFonts w:eastAsia="Calibri"/>
          <w:lang w:eastAsia="en-US"/>
        </w:rPr>
        <w:t xml:space="preserve"> kn (</w:t>
      </w:r>
      <w:r w:rsidR="00EC5501">
        <w:rPr>
          <w:rFonts w:eastAsia="Calibri"/>
          <w:lang w:eastAsia="en-US"/>
        </w:rPr>
        <w:t xml:space="preserve">šifra </w:t>
      </w:r>
      <w:r w:rsidR="00EC5501" w:rsidRPr="00EC5501">
        <w:rPr>
          <w:rFonts w:eastAsia="Calibri"/>
          <w:lang w:eastAsia="en-US"/>
        </w:rPr>
        <w:t>P029</w:t>
      </w:r>
      <w:r w:rsidR="007448D5" w:rsidRPr="007616A7">
        <w:rPr>
          <w:rFonts w:eastAsia="Calibri"/>
          <w:lang w:eastAsia="en-US"/>
        </w:rPr>
        <w:t xml:space="preserve">) odnosi </w:t>
      </w:r>
      <w:r w:rsidR="008545E4">
        <w:rPr>
          <w:rFonts w:eastAsia="Calibri"/>
          <w:lang w:eastAsia="en-US"/>
        </w:rPr>
        <w:t xml:space="preserve">se </w:t>
      </w:r>
      <w:r w:rsidR="007448D5" w:rsidRPr="007616A7">
        <w:rPr>
          <w:rFonts w:eastAsia="Calibri"/>
          <w:lang w:eastAsia="en-US"/>
        </w:rPr>
        <w:t xml:space="preserve">na otpis </w:t>
      </w:r>
      <w:r w:rsidR="00054A60" w:rsidRPr="007616A7">
        <w:rPr>
          <w:rFonts w:eastAsia="Calibri"/>
          <w:lang w:eastAsia="en-US"/>
        </w:rPr>
        <w:t xml:space="preserve">zastarjelih </w:t>
      </w:r>
      <w:r w:rsidR="007448D5" w:rsidRPr="007616A7">
        <w:rPr>
          <w:rFonts w:eastAsia="Calibri"/>
          <w:lang w:eastAsia="en-US"/>
        </w:rPr>
        <w:t>potraživanja za prihode poslovanja</w:t>
      </w:r>
      <w:r w:rsidR="00941AF0" w:rsidRPr="007616A7">
        <w:rPr>
          <w:rFonts w:eastAsia="Calibri"/>
          <w:lang w:eastAsia="en-US"/>
        </w:rPr>
        <w:t xml:space="preserve"> koja </w:t>
      </w:r>
      <w:r w:rsidR="007616A7" w:rsidRPr="007616A7">
        <w:rPr>
          <w:rFonts w:eastAsia="Calibri"/>
          <w:lang w:eastAsia="en-US"/>
        </w:rPr>
        <w:t>nije moguće</w:t>
      </w:r>
      <w:r w:rsidR="0028006C" w:rsidRPr="007616A7">
        <w:rPr>
          <w:rFonts w:eastAsia="Calibri"/>
          <w:lang w:eastAsia="en-US"/>
        </w:rPr>
        <w:t xml:space="preserve"> naplatiti jer su </w:t>
      </w:r>
      <w:r w:rsidR="007616A7" w:rsidRPr="007616A7">
        <w:rPr>
          <w:rFonts w:eastAsia="Calibri"/>
          <w:lang w:eastAsia="en-US"/>
        </w:rPr>
        <w:t>poslovni subjekti</w:t>
      </w:r>
      <w:r w:rsidR="00941AF0" w:rsidRPr="007616A7">
        <w:rPr>
          <w:rFonts w:eastAsia="Calibri"/>
          <w:lang w:eastAsia="en-US"/>
        </w:rPr>
        <w:t xml:space="preserve"> ugašeni i brisani iz sudskog registra</w:t>
      </w:r>
      <w:r w:rsidR="007448D5" w:rsidRPr="007616A7">
        <w:rPr>
          <w:rFonts w:eastAsia="Calibri"/>
          <w:lang w:eastAsia="en-US"/>
        </w:rPr>
        <w:t>.</w:t>
      </w:r>
      <w:r w:rsidR="007448D5">
        <w:rPr>
          <w:rFonts w:eastAsia="Calibri"/>
          <w:lang w:eastAsia="en-US"/>
        </w:rPr>
        <w:t xml:space="preserve"> </w:t>
      </w:r>
      <w:r w:rsidR="00EC5501">
        <w:rPr>
          <w:rFonts w:eastAsia="Calibri"/>
          <w:lang w:eastAsia="en-US"/>
        </w:rPr>
        <w:t xml:space="preserve">   </w:t>
      </w:r>
    </w:p>
    <w:p w14:paraId="7AD0D9E8" w14:textId="77777777" w:rsidR="00833082" w:rsidRDefault="00833082" w:rsidP="00833082">
      <w:pPr>
        <w:suppressAutoHyphens/>
        <w:spacing w:line="259" w:lineRule="auto"/>
        <w:jc w:val="both"/>
        <w:rPr>
          <w:rFonts w:eastAsia="Calibri"/>
          <w:lang w:eastAsia="en-US"/>
        </w:rPr>
      </w:pPr>
    </w:p>
    <w:p w14:paraId="233A60F2" w14:textId="77777777" w:rsidR="00833082" w:rsidRPr="006728DA" w:rsidRDefault="00833082" w:rsidP="00833082">
      <w:pPr>
        <w:suppressAutoHyphens/>
        <w:spacing w:line="259" w:lineRule="auto"/>
        <w:jc w:val="both"/>
        <w:rPr>
          <w:rFonts w:eastAsia="Calibri"/>
          <w:lang w:eastAsia="en-US"/>
        </w:rPr>
      </w:pPr>
    </w:p>
    <w:p w14:paraId="78C8371C" w14:textId="77777777" w:rsidR="001F5A39" w:rsidRPr="006728DA" w:rsidRDefault="001F5A39" w:rsidP="001F5A39">
      <w:pPr>
        <w:numPr>
          <w:ilvl w:val="0"/>
          <w:numId w:val="11"/>
        </w:numPr>
        <w:suppressAutoHyphens/>
        <w:spacing w:after="160" w:line="259" w:lineRule="auto"/>
        <w:ind w:left="426" w:hanging="426"/>
        <w:contextualSpacing/>
        <w:rPr>
          <w:rFonts w:eastAsia="Calibri"/>
          <w:b/>
          <w:lang w:eastAsia="en-US"/>
        </w:rPr>
      </w:pPr>
      <w:r w:rsidRPr="006728DA">
        <w:rPr>
          <w:rFonts w:eastAsia="Calibri"/>
          <w:b/>
          <w:lang w:eastAsia="en-US"/>
        </w:rPr>
        <w:t xml:space="preserve">BILJEŠKE UZ IZVJEŠTAJ O OBVEZAMA (OBRAZAC OBVEZE)   </w:t>
      </w:r>
    </w:p>
    <w:p w14:paraId="52FCD74B" w14:textId="77777777" w:rsidR="00A65998" w:rsidRDefault="00A65998" w:rsidP="00E919CB"/>
    <w:p w14:paraId="5659C74D" w14:textId="473CD199" w:rsidR="00032D50" w:rsidRDefault="00A65998" w:rsidP="00032D50">
      <w:pPr>
        <w:suppressAutoHyphens/>
        <w:spacing w:line="259" w:lineRule="auto"/>
        <w:jc w:val="both"/>
        <w:rPr>
          <w:rFonts w:eastAsia="Calibri"/>
          <w:lang w:eastAsia="en-US"/>
        </w:rPr>
      </w:pPr>
      <w:r w:rsidRPr="00F3738C">
        <w:rPr>
          <w:rFonts w:eastAsia="Calibri"/>
          <w:lang w:eastAsia="en-US"/>
        </w:rPr>
        <w:t>Stanje obveza na dan 3</w:t>
      </w:r>
      <w:r w:rsidR="001F5A39">
        <w:rPr>
          <w:rFonts w:eastAsia="Calibri"/>
          <w:lang w:eastAsia="en-US"/>
        </w:rPr>
        <w:t>1</w:t>
      </w:r>
      <w:r w:rsidRPr="00F3738C">
        <w:rPr>
          <w:rFonts w:eastAsia="Calibri"/>
          <w:lang w:eastAsia="en-US"/>
        </w:rPr>
        <w:t xml:space="preserve">. </w:t>
      </w:r>
      <w:r w:rsidR="001F5A39">
        <w:rPr>
          <w:rFonts w:eastAsia="Calibri"/>
          <w:lang w:eastAsia="en-US"/>
        </w:rPr>
        <w:t>prosinca</w:t>
      </w:r>
      <w:r w:rsidRPr="00F3738C">
        <w:rPr>
          <w:rFonts w:eastAsia="Calibri"/>
          <w:lang w:eastAsia="en-US"/>
        </w:rPr>
        <w:t xml:space="preserve"> 20</w:t>
      </w:r>
      <w:r>
        <w:rPr>
          <w:rFonts w:eastAsia="Calibri"/>
          <w:lang w:eastAsia="en-US"/>
        </w:rPr>
        <w:t>2</w:t>
      </w:r>
      <w:r w:rsidR="001412F2">
        <w:rPr>
          <w:rFonts w:eastAsia="Calibri"/>
          <w:lang w:eastAsia="en-US"/>
        </w:rPr>
        <w:t>2</w:t>
      </w:r>
      <w:r w:rsidRPr="00F3738C">
        <w:rPr>
          <w:rFonts w:eastAsia="Calibri"/>
          <w:lang w:eastAsia="en-US"/>
        </w:rPr>
        <w:t xml:space="preserve">. iznosi </w:t>
      </w:r>
      <w:r w:rsidR="001412F2" w:rsidRPr="001412F2">
        <w:rPr>
          <w:rFonts w:eastAsia="Calibri"/>
          <w:lang w:eastAsia="en-US"/>
        </w:rPr>
        <w:t>64.416.788,82</w:t>
      </w:r>
      <w:r w:rsidR="004D2C48">
        <w:rPr>
          <w:rFonts w:eastAsia="Calibri"/>
          <w:lang w:eastAsia="en-US"/>
        </w:rPr>
        <w:t xml:space="preserve"> kn – </w:t>
      </w:r>
      <w:r w:rsidR="001412F2">
        <w:rPr>
          <w:rFonts w:eastAsia="Calibri"/>
          <w:lang w:eastAsia="en-US"/>
        </w:rPr>
        <w:t xml:space="preserve">šifra </w:t>
      </w:r>
      <w:r w:rsidR="001412F2" w:rsidRPr="001412F2">
        <w:rPr>
          <w:rFonts w:eastAsia="Calibri"/>
          <w:lang w:eastAsia="en-US"/>
        </w:rPr>
        <w:t>V006</w:t>
      </w:r>
      <w:r w:rsidRPr="00F3738C">
        <w:rPr>
          <w:rFonts w:eastAsia="Calibri"/>
          <w:lang w:eastAsia="en-US"/>
        </w:rPr>
        <w:t>.</w:t>
      </w:r>
    </w:p>
    <w:p w14:paraId="48DC40EC" w14:textId="4D3FA6B8" w:rsidR="00A65998" w:rsidRDefault="00A65998" w:rsidP="00032D50">
      <w:pPr>
        <w:suppressAutoHyphens/>
        <w:spacing w:line="259" w:lineRule="auto"/>
        <w:jc w:val="both"/>
        <w:rPr>
          <w:rFonts w:eastAsia="Calibri"/>
          <w:lang w:eastAsia="en-US"/>
        </w:rPr>
      </w:pPr>
      <w:r w:rsidRPr="00F3738C">
        <w:rPr>
          <w:rFonts w:eastAsia="Calibri"/>
          <w:lang w:eastAsia="en-US"/>
        </w:rPr>
        <w:t xml:space="preserve"> </w:t>
      </w:r>
    </w:p>
    <w:p w14:paraId="7EFF9136" w14:textId="77777777" w:rsidR="00073A58" w:rsidRDefault="00A65998" w:rsidP="00032D50">
      <w:pPr>
        <w:suppressAutoHyphens/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Ukupne nedospjele obveze u iznosu od </w:t>
      </w:r>
      <w:r w:rsidR="001412F2" w:rsidRPr="001412F2">
        <w:rPr>
          <w:rFonts w:eastAsia="Calibri"/>
          <w:lang w:eastAsia="en-US"/>
        </w:rPr>
        <w:t>64.416.788,82</w:t>
      </w:r>
      <w:r w:rsidR="00D30F6E">
        <w:rPr>
          <w:rFonts w:eastAsia="Calibri"/>
          <w:lang w:eastAsia="en-US"/>
        </w:rPr>
        <w:t xml:space="preserve"> kn (</w:t>
      </w:r>
      <w:r w:rsidR="001412F2">
        <w:rPr>
          <w:rFonts w:eastAsia="Calibri"/>
          <w:lang w:eastAsia="en-US"/>
        </w:rPr>
        <w:t xml:space="preserve">šifra </w:t>
      </w:r>
      <w:r w:rsidR="001412F2" w:rsidRPr="001412F2">
        <w:rPr>
          <w:rFonts w:eastAsia="Calibri"/>
          <w:lang w:eastAsia="en-US"/>
        </w:rPr>
        <w:t>V009</w:t>
      </w:r>
      <w:r>
        <w:rPr>
          <w:rFonts w:eastAsia="Calibri"/>
          <w:lang w:eastAsia="en-US"/>
        </w:rPr>
        <w:t>) najvećim dijelom se odnose na</w:t>
      </w:r>
      <w:r w:rsidR="00073A58">
        <w:rPr>
          <w:rFonts w:eastAsia="Calibri"/>
          <w:lang w:eastAsia="en-US"/>
        </w:rPr>
        <w:t>:</w:t>
      </w:r>
    </w:p>
    <w:p w14:paraId="63A95FE0" w14:textId="66F77CFD" w:rsidR="00073A58" w:rsidRDefault="005F1CEB" w:rsidP="00073A58">
      <w:pPr>
        <w:pStyle w:val="ListParagraph"/>
        <w:numPr>
          <w:ilvl w:val="0"/>
          <w:numId w:val="17"/>
        </w:numPr>
        <w:suppressAutoHyphens/>
        <w:spacing w:line="259" w:lineRule="auto"/>
        <w:jc w:val="both"/>
        <w:rPr>
          <w:rFonts w:eastAsia="Calibri"/>
          <w:lang w:eastAsia="en-US"/>
        </w:rPr>
      </w:pPr>
      <w:r w:rsidRPr="00073A58">
        <w:rPr>
          <w:rFonts w:eastAsia="Calibri"/>
          <w:lang w:eastAsia="en-US"/>
        </w:rPr>
        <w:t>obveze za jamčevine</w:t>
      </w:r>
      <w:r w:rsidR="00136FE1" w:rsidRPr="00073A58">
        <w:rPr>
          <w:rFonts w:eastAsia="Calibri"/>
          <w:lang w:eastAsia="en-US"/>
        </w:rPr>
        <w:t>,</w:t>
      </w:r>
      <w:r w:rsidRPr="00073A58">
        <w:rPr>
          <w:rFonts w:eastAsia="Calibri"/>
          <w:lang w:eastAsia="en-US"/>
        </w:rPr>
        <w:t xml:space="preserve"> i to </w:t>
      </w:r>
      <w:r w:rsidR="00466790">
        <w:rPr>
          <w:rFonts w:eastAsia="Calibri"/>
          <w:lang w:eastAsia="en-US"/>
        </w:rPr>
        <w:t xml:space="preserve">prvenstveno na </w:t>
      </w:r>
      <w:r w:rsidRPr="00073A58">
        <w:rPr>
          <w:rFonts w:eastAsia="Calibri"/>
          <w:lang w:eastAsia="en-US"/>
        </w:rPr>
        <w:t xml:space="preserve">obveze za </w:t>
      </w:r>
      <w:r w:rsidR="004D133E">
        <w:rPr>
          <w:rFonts w:eastAsia="Calibri"/>
          <w:lang w:eastAsia="en-US"/>
        </w:rPr>
        <w:t>za</w:t>
      </w:r>
      <w:r w:rsidR="008F4EE7">
        <w:rPr>
          <w:rFonts w:eastAsia="Calibri"/>
          <w:lang w:eastAsia="en-US"/>
        </w:rPr>
        <w:t>primljen</w:t>
      </w:r>
      <w:r w:rsidR="00AD2EA9">
        <w:rPr>
          <w:rFonts w:eastAsia="Calibri"/>
          <w:lang w:eastAsia="en-US"/>
        </w:rPr>
        <w:t>e novčane pologe koji predstavljaju</w:t>
      </w:r>
      <w:r w:rsidR="008F4EE7">
        <w:rPr>
          <w:rFonts w:eastAsia="Calibri"/>
          <w:lang w:eastAsia="en-US"/>
        </w:rPr>
        <w:t xml:space="preserve"> </w:t>
      </w:r>
      <w:r w:rsidR="004D133E">
        <w:rPr>
          <w:rFonts w:eastAsia="Calibri"/>
          <w:lang w:eastAsia="en-US"/>
        </w:rPr>
        <w:t>jamstva</w:t>
      </w:r>
      <w:r w:rsidR="00073A58" w:rsidRPr="00073A58">
        <w:rPr>
          <w:rFonts w:eastAsia="Calibri"/>
          <w:lang w:eastAsia="en-US"/>
        </w:rPr>
        <w:t xml:space="preserve"> za ozbiljnost i valjanost sudjelovanja u postupku javne dražbe</w:t>
      </w:r>
      <w:r w:rsidRPr="00073A58">
        <w:rPr>
          <w:rFonts w:eastAsia="Calibri"/>
          <w:lang w:eastAsia="en-US"/>
        </w:rPr>
        <w:t xml:space="preserve"> </w:t>
      </w:r>
      <w:r w:rsidR="00073A58" w:rsidRPr="00073A58">
        <w:rPr>
          <w:rFonts w:eastAsia="Calibri"/>
          <w:lang w:eastAsia="en-US"/>
        </w:rPr>
        <w:t>s elektroničkim oblikom nadmetanja za dodjelu radiofrekvencijskog spektra u frekvencijskim pojasevima 800 MHz, 900 MHz, 1800 MHz, 2100 MHz, 2600 MHz i 3600 MHz</w:t>
      </w:r>
      <w:r w:rsidR="008F4EE7">
        <w:rPr>
          <w:rFonts w:eastAsia="Calibri"/>
          <w:lang w:eastAsia="en-US"/>
        </w:rPr>
        <w:t xml:space="preserve"> (58.926.571,60 kn)</w:t>
      </w:r>
      <w:r w:rsidR="00AD2EA9">
        <w:rPr>
          <w:rFonts w:eastAsia="Calibri"/>
          <w:lang w:eastAsia="en-US"/>
        </w:rPr>
        <w:t>,</w:t>
      </w:r>
    </w:p>
    <w:p w14:paraId="0E4B1F1E" w14:textId="3F82D24C" w:rsidR="00073A58" w:rsidRDefault="00A65998" w:rsidP="00073A58">
      <w:pPr>
        <w:pStyle w:val="ListParagraph"/>
        <w:numPr>
          <w:ilvl w:val="0"/>
          <w:numId w:val="17"/>
        </w:numPr>
        <w:suppressAutoHyphens/>
        <w:spacing w:line="259" w:lineRule="auto"/>
        <w:jc w:val="both"/>
        <w:rPr>
          <w:rFonts w:eastAsia="Calibri"/>
          <w:lang w:eastAsia="en-US"/>
        </w:rPr>
      </w:pPr>
      <w:r w:rsidRPr="00073A58">
        <w:rPr>
          <w:rFonts w:eastAsia="Calibri"/>
          <w:lang w:eastAsia="en-US"/>
        </w:rPr>
        <w:t xml:space="preserve">obvezu za isplatu plaće za </w:t>
      </w:r>
      <w:r w:rsidR="001F5A39" w:rsidRPr="00073A58">
        <w:rPr>
          <w:rFonts w:eastAsia="Calibri"/>
          <w:lang w:eastAsia="en-US"/>
        </w:rPr>
        <w:t>prosinac</w:t>
      </w:r>
      <w:r w:rsidRPr="00073A58">
        <w:rPr>
          <w:rFonts w:eastAsia="Calibri"/>
          <w:lang w:eastAsia="en-US"/>
        </w:rPr>
        <w:t xml:space="preserve"> 202</w:t>
      </w:r>
      <w:r w:rsidR="009B751B" w:rsidRPr="00073A58">
        <w:rPr>
          <w:rFonts w:eastAsia="Calibri"/>
          <w:lang w:eastAsia="en-US"/>
        </w:rPr>
        <w:t>2</w:t>
      </w:r>
      <w:r w:rsidR="00466790">
        <w:rPr>
          <w:rFonts w:eastAsia="Calibri"/>
          <w:lang w:eastAsia="en-US"/>
        </w:rPr>
        <w:t>.</w:t>
      </w:r>
      <w:r w:rsidR="00AD2EA9">
        <w:rPr>
          <w:rFonts w:eastAsia="Calibri"/>
          <w:lang w:eastAsia="en-US"/>
        </w:rPr>
        <w:t>,</w:t>
      </w:r>
      <w:r w:rsidRPr="00073A58">
        <w:rPr>
          <w:rFonts w:eastAsia="Calibri"/>
          <w:lang w:eastAsia="en-US"/>
        </w:rPr>
        <w:t xml:space="preserve"> </w:t>
      </w:r>
    </w:p>
    <w:p w14:paraId="4D823719" w14:textId="77777777" w:rsidR="00073A58" w:rsidRDefault="00A65998" w:rsidP="00073A58">
      <w:pPr>
        <w:pStyle w:val="ListParagraph"/>
        <w:numPr>
          <w:ilvl w:val="0"/>
          <w:numId w:val="17"/>
        </w:numPr>
        <w:suppressAutoHyphens/>
        <w:spacing w:line="259" w:lineRule="auto"/>
        <w:jc w:val="both"/>
        <w:rPr>
          <w:rFonts w:eastAsia="Calibri"/>
          <w:lang w:eastAsia="en-US"/>
        </w:rPr>
      </w:pPr>
      <w:r w:rsidRPr="00073A58">
        <w:rPr>
          <w:rFonts w:eastAsia="Calibri"/>
          <w:lang w:eastAsia="en-US"/>
        </w:rPr>
        <w:t xml:space="preserve">obveze </w:t>
      </w:r>
      <w:r w:rsidR="004D116C" w:rsidRPr="00073A58">
        <w:rPr>
          <w:rFonts w:eastAsia="Calibri"/>
          <w:lang w:eastAsia="en-US"/>
        </w:rPr>
        <w:t xml:space="preserve">za rashode </w:t>
      </w:r>
      <w:r w:rsidRPr="00073A58">
        <w:rPr>
          <w:rFonts w:eastAsia="Calibri"/>
          <w:lang w:eastAsia="en-US"/>
        </w:rPr>
        <w:t xml:space="preserve">prema dobavljačima. </w:t>
      </w:r>
    </w:p>
    <w:p w14:paraId="44B36E0F" w14:textId="76970BBE" w:rsidR="00A65998" w:rsidRPr="00073A58" w:rsidRDefault="000F3E4D" w:rsidP="00073A58">
      <w:pPr>
        <w:suppressAutoHyphens/>
        <w:spacing w:line="259" w:lineRule="auto"/>
        <w:jc w:val="both"/>
        <w:rPr>
          <w:rFonts w:eastAsia="Calibri"/>
          <w:lang w:eastAsia="en-US"/>
        </w:rPr>
      </w:pPr>
      <w:r w:rsidRPr="00073A58">
        <w:rPr>
          <w:rFonts w:eastAsia="Calibri"/>
          <w:lang w:eastAsia="en-US"/>
        </w:rPr>
        <w:t>O</w:t>
      </w:r>
      <w:r w:rsidR="002E107B">
        <w:rPr>
          <w:rFonts w:eastAsia="Calibri"/>
          <w:lang w:eastAsia="en-US"/>
        </w:rPr>
        <w:t>bveza</w:t>
      </w:r>
      <w:r w:rsidRPr="00073A58">
        <w:rPr>
          <w:rFonts w:eastAsia="Calibri"/>
          <w:lang w:eastAsia="en-US"/>
        </w:rPr>
        <w:t xml:space="preserve"> za isplatu plaće i o</w:t>
      </w:r>
      <w:r w:rsidR="001D4038" w:rsidRPr="00073A58">
        <w:rPr>
          <w:rFonts w:eastAsia="Calibri"/>
          <w:lang w:eastAsia="en-US"/>
        </w:rPr>
        <w:t xml:space="preserve">bveze prema dobavljačima </w:t>
      </w:r>
      <w:r w:rsidR="00A65998" w:rsidRPr="00073A58">
        <w:rPr>
          <w:rFonts w:eastAsia="Calibri"/>
          <w:lang w:eastAsia="en-US"/>
        </w:rPr>
        <w:t>su podmirene</w:t>
      </w:r>
      <w:r w:rsidR="00D30F6E" w:rsidRPr="00073A58">
        <w:rPr>
          <w:rFonts w:eastAsia="Calibri"/>
          <w:lang w:eastAsia="en-US"/>
        </w:rPr>
        <w:t xml:space="preserve"> u siječnju 202</w:t>
      </w:r>
      <w:r w:rsidR="009B751B" w:rsidRPr="00073A58">
        <w:rPr>
          <w:rFonts w:eastAsia="Calibri"/>
          <w:lang w:eastAsia="en-US"/>
        </w:rPr>
        <w:t>3</w:t>
      </w:r>
      <w:r w:rsidR="00A65998" w:rsidRPr="00073A58">
        <w:rPr>
          <w:rFonts w:eastAsia="Calibri"/>
          <w:lang w:eastAsia="en-US"/>
        </w:rPr>
        <w:t>.</w:t>
      </w:r>
      <w:r w:rsidR="00A23C42" w:rsidRPr="00073A58">
        <w:rPr>
          <w:rFonts w:eastAsia="Calibri"/>
          <w:lang w:eastAsia="en-US"/>
        </w:rPr>
        <w:t xml:space="preserve"> </w:t>
      </w:r>
    </w:p>
    <w:p w14:paraId="3BED51AC" w14:textId="77777777" w:rsidR="00032D50" w:rsidRDefault="00032D50" w:rsidP="00032D50">
      <w:pPr>
        <w:suppressAutoHyphens/>
        <w:spacing w:line="259" w:lineRule="auto"/>
        <w:jc w:val="both"/>
        <w:rPr>
          <w:rFonts w:eastAsia="Calibri"/>
          <w:lang w:eastAsia="en-US"/>
        </w:rPr>
      </w:pPr>
    </w:p>
    <w:p w14:paraId="783AB9CB" w14:textId="507D0390" w:rsidR="00242D81" w:rsidRDefault="00C92491" w:rsidP="00D703E2">
      <w:pPr>
        <w:suppressAutoHyphens/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Stanje nedospjelih međusobnih obveza</w:t>
      </w:r>
      <w:r w:rsidRPr="00A23C42">
        <w:rPr>
          <w:rFonts w:eastAsia="Calibri"/>
          <w:lang w:eastAsia="en-US"/>
        </w:rPr>
        <w:t xml:space="preserve"> proračunskih korisnika</w:t>
      </w:r>
      <w:r>
        <w:rPr>
          <w:rFonts w:eastAsia="Calibri"/>
          <w:lang w:eastAsia="en-US"/>
        </w:rPr>
        <w:t xml:space="preserve"> na dan 31. prosinac 202</w:t>
      </w:r>
      <w:r w:rsidR="00C20EB2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. iznosi </w:t>
      </w:r>
      <w:r w:rsidR="00C20EB2" w:rsidRPr="00C20EB2">
        <w:rPr>
          <w:rFonts w:eastAsia="Calibri"/>
          <w:lang w:eastAsia="en-US"/>
        </w:rPr>
        <w:t>6.113,16</w:t>
      </w:r>
      <w:r>
        <w:rPr>
          <w:rFonts w:eastAsia="Calibri"/>
          <w:lang w:eastAsia="en-US"/>
        </w:rPr>
        <w:t xml:space="preserve"> kn. </w:t>
      </w:r>
      <w:r w:rsidR="00807EFB">
        <w:rPr>
          <w:rFonts w:eastAsia="Calibri"/>
          <w:lang w:eastAsia="en-US"/>
        </w:rPr>
        <w:t xml:space="preserve">Međusobne obveze proračunskih korisnika </w:t>
      </w:r>
      <w:r w:rsidR="003E417D">
        <w:rPr>
          <w:rFonts w:eastAsia="Calibri"/>
          <w:lang w:eastAsia="en-US"/>
        </w:rPr>
        <w:t>tijekom 202</w:t>
      </w:r>
      <w:r w:rsidR="00C20EB2">
        <w:rPr>
          <w:rFonts w:eastAsia="Calibri"/>
          <w:lang w:eastAsia="en-US"/>
        </w:rPr>
        <w:t>2</w:t>
      </w:r>
      <w:r w:rsidR="003E417D">
        <w:rPr>
          <w:rFonts w:eastAsia="Calibri"/>
          <w:lang w:eastAsia="en-US"/>
        </w:rPr>
        <w:t>. odnosile su</w:t>
      </w:r>
      <w:r w:rsidR="00807EFB">
        <w:rPr>
          <w:rFonts w:eastAsia="Calibri"/>
          <w:lang w:eastAsia="en-US"/>
        </w:rPr>
        <w:t xml:space="preserve"> se na</w:t>
      </w:r>
      <w:r w:rsidR="008B40DC">
        <w:rPr>
          <w:rFonts w:eastAsia="Calibri"/>
          <w:lang w:eastAsia="en-US"/>
        </w:rPr>
        <w:t>:</w:t>
      </w:r>
      <w:r w:rsidR="00807EFB">
        <w:rPr>
          <w:rFonts w:eastAsia="Calibri"/>
          <w:lang w:eastAsia="en-US"/>
        </w:rPr>
        <w:t xml:space="preserve"> </w:t>
      </w:r>
    </w:p>
    <w:p w14:paraId="67CB9284" w14:textId="071AB625" w:rsidR="00242D81" w:rsidRDefault="00807EFB" w:rsidP="00AD66E3">
      <w:pPr>
        <w:pStyle w:val="ListParagraph"/>
        <w:numPr>
          <w:ilvl w:val="0"/>
          <w:numId w:val="14"/>
        </w:numPr>
        <w:suppressAutoHyphens/>
        <w:spacing w:line="259" w:lineRule="auto"/>
        <w:jc w:val="both"/>
        <w:rPr>
          <w:rFonts w:eastAsia="Calibri"/>
          <w:lang w:eastAsia="en-US"/>
        </w:rPr>
      </w:pPr>
      <w:r w:rsidRPr="00242D81">
        <w:rPr>
          <w:rFonts w:eastAsia="Calibri"/>
          <w:lang w:eastAsia="en-US"/>
        </w:rPr>
        <w:t>računalne usluge (Srce - Sveučilišni računski centar Sveučilišta u Zagrebu</w:t>
      </w:r>
      <w:r w:rsidR="002F2831" w:rsidRPr="00242D81">
        <w:rPr>
          <w:rFonts w:eastAsia="Calibri"/>
          <w:lang w:eastAsia="en-US"/>
        </w:rPr>
        <w:t>)</w:t>
      </w:r>
      <w:r w:rsidR="00C92491" w:rsidRPr="00242D81">
        <w:rPr>
          <w:rFonts w:eastAsia="Calibri"/>
          <w:lang w:eastAsia="en-US"/>
        </w:rPr>
        <w:t xml:space="preserve"> </w:t>
      </w:r>
      <w:r w:rsidR="00242D81">
        <w:rPr>
          <w:rFonts w:eastAsia="Calibri"/>
          <w:lang w:eastAsia="en-US"/>
        </w:rPr>
        <w:t>-</w:t>
      </w:r>
      <w:r w:rsidR="002F2831" w:rsidRPr="00242D81">
        <w:rPr>
          <w:rFonts w:eastAsia="Calibri"/>
          <w:lang w:eastAsia="en-US"/>
        </w:rPr>
        <w:t xml:space="preserve"> stanje </w:t>
      </w:r>
      <w:r w:rsidR="00C92491" w:rsidRPr="00242D81">
        <w:rPr>
          <w:rFonts w:eastAsia="Calibri"/>
          <w:lang w:eastAsia="en-US"/>
        </w:rPr>
        <w:t>obveza</w:t>
      </w:r>
      <w:r w:rsidR="002F2831" w:rsidRPr="00242D81">
        <w:rPr>
          <w:rFonts w:eastAsia="Calibri"/>
          <w:lang w:eastAsia="en-US"/>
        </w:rPr>
        <w:t xml:space="preserve"> na dan 31. prosinca 202</w:t>
      </w:r>
      <w:r w:rsidR="00AD66E3">
        <w:rPr>
          <w:rFonts w:eastAsia="Calibri"/>
          <w:lang w:eastAsia="en-US"/>
        </w:rPr>
        <w:t>2</w:t>
      </w:r>
      <w:r w:rsidR="002F2831" w:rsidRPr="00242D81">
        <w:rPr>
          <w:rFonts w:eastAsia="Calibri"/>
          <w:lang w:eastAsia="en-US"/>
        </w:rPr>
        <w:t>.</w:t>
      </w:r>
      <w:r w:rsidR="00C92491" w:rsidRPr="00242D81">
        <w:rPr>
          <w:rFonts w:eastAsia="Calibri"/>
          <w:lang w:eastAsia="en-US"/>
        </w:rPr>
        <w:t xml:space="preserve"> iznosi</w:t>
      </w:r>
      <w:r w:rsidR="00CE11FF" w:rsidRPr="00242D81">
        <w:rPr>
          <w:rFonts w:eastAsia="Calibri"/>
          <w:lang w:eastAsia="en-US"/>
        </w:rPr>
        <w:t xml:space="preserve"> </w:t>
      </w:r>
      <w:r w:rsidR="00AD66E3" w:rsidRPr="00AD66E3">
        <w:rPr>
          <w:rFonts w:eastAsia="Calibri"/>
          <w:lang w:eastAsia="en-US"/>
        </w:rPr>
        <w:t>6.113,16</w:t>
      </w:r>
      <w:r w:rsidR="00CE11FF" w:rsidRPr="00242D81">
        <w:rPr>
          <w:rFonts w:eastAsia="Calibri"/>
          <w:lang w:eastAsia="en-US"/>
        </w:rPr>
        <w:t xml:space="preserve"> kn</w:t>
      </w:r>
      <w:r w:rsidR="00841CD5">
        <w:rPr>
          <w:rFonts w:eastAsia="Calibri"/>
          <w:lang w:eastAsia="en-US"/>
        </w:rPr>
        <w:t>;</w:t>
      </w:r>
      <w:r w:rsidRPr="00242D81">
        <w:rPr>
          <w:rFonts w:eastAsia="Calibri"/>
          <w:lang w:eastAsia="en-US"/>
        </w:rPr>
        <w:t xml:space="preserve"> </w:t>
      </w:r>
      <w:r w:rsidR="00AD66E3">
        <w:rPr>
          <w:rFonts w:eastAsia="Calibri"/>
          <w:lang w:eastAsia="en-US"/>
        </w:rPr>
        <w:t xml:space="preserve"> </w:t>
      </w:r>
    </w:p>
    <w:p w14:paraId="0873DAED" w14:textId="6F9FD1C8" w:rsidR="00242D81" w:rsidRDefault="00807EFB" w:rsidP="003F4067">
      <w:pPr>
        <w:pStyle w:val="ListParagraph"/>
        <w:numPr>
          <w:ilvl w:val="0"/>
          <w:numId w:val="14"/>
        </w:numPr>
        <w:suppressAutoHyphens/>
        <w:spacing w:line="259" w:lineRule="auto"/>
        <w:jc w:val="both"/>
        <w:rPr>
          <w:rFonts w:eastAsia="Calibri"/>
          <w:lang w:eastAsia="en-US"/>
        </w:rPr>
      </w:pPr>
      <w:r w:rsidRPr="00242D81">
        <w:rPr>
          <w:rFonts w:eastAsia="Calibri"/>
          <w:lang w:eastAsia="en-US"/>
        </w:rPr>
        <w:t>stručno usavršavanje zaposlenika (</w:t>
      </w:r>
      <w:r w:rsidR="004D5BC8">
        <w:rPr>
          <w:rFonts w:eastAsia="Calibri"/>
          <w:lang w:eastAsia="en-US"/>
        </w:rPr>
        <w:t>Ekonomski</w:t>
      </w:r>
      <w:r w:rsidR="004B25A3" w:rsidRPr="00242D81">
        <w:rPr>
          <w:rFonts w:eastAsia="Calibri"/>
          <w:lang w:eastAsia="en-US"/>
        </w:rPr>
        <w:t xml:space="preserve"> fakultet u Zagrebu</w:t>
      </w:r>
      <w:r w:rsidR="00B862B2" w:rsidRPr="00242D81">
        <w:rPr>
          <w:rFonts w:eastAsia="Calibri"/>
          <w:lang w:eastAsia="en-US"/>
        </w:rPr>
        <w:t xml:space="preserve"> – </w:t>
      </w:r>
      <w:r w:rsidR="00972658">
        <w:rPr>
          <w:rFonts w:eastAsia="Calibri"/>
          <w:lang w:eastAsia="en-US"/>
        </w:rPr>
        <w:t>Međunarodna k</w:t>
      </w:r>
      <w:r w:rsidR="000838FC" w:rsidRPr="000838FC">
        <w:rPr>
          <w:rFonts w:eastAsia="Calibri"/>
          <w:lang w:eastAsia="en-US"/>
        </w:rPr>
        <w:t xml:space="preserve">onferencija </w:t>
      </w:r>
      <w:r w:rsidR="00972658">
        <w:rPr>
          <w:rFonts w:eastAsia="Calibri"/>
          <w:lang w:eastAsia="en-US"/>
        </w:rPr>
        <w:t>„</w:t>
      </w:r>
      <w:r w:rsidR="000838FC" w:rsidRPr="000838FC">
        <w:rPr>
          <w:rFonts w:eastAsia="Calibri"/>
          <w:lang w:eastAsia="en-US"/>
        </w:rPr>
        <w:t>2nd Zagreb</w:t>
      </w:r>
      <w:r w:rsidR="00972658">
        <w:rPr>
          <w:rFonts w:eastAsia="Calibri"/>
          <w:lang w:eastAsia="en-US"/>
        </w:rPr>
        <w:t xml:space="preserve"> International Conference on the Law of Obligations“</w:t>
      </w:r>
      <w:r w:rsidR="000838FC">
        <w:rPr>
          <w:rFonts w:eastAsia="Calibri"/>
          <w:lang w:eastAsia="en-US"/>
        </w:rPr>
        <w:t xml:space="preserve">; </w:t>
      </w:r>
      <w:r w:rsidR="00B048FA" w:rsidRPr="00B048FA">
        <w:rPr>
          <w:rFonts w:eastAsia="Calibri"/>
          <w:lang w:eastAsia="en-US"/>
        </w:rPr>
        <w:t xml:space="preserve">Ministarstvo </w:t>
      </w:r>
      <w:r w:rsidR="00B048FA" w:rsidRPr="00B048FA">
        <w:rPr>
          <w:rFonts w:eastAsia="Calibri"/>
          <w:lang w:eastAsia="en-US"/>
        </w:rPr>
        <w:lastRenderedPageBreak/>
        <w:t>pravosuđa i uprave RH</w:t>
      </w:r>
      <w:r w:rsidR="00B048FA">
        <w:rPr>
          <w:rFonts w:eastAsia="Calibri"/>
          <w:lang w:eastAsia="en-US"/>
        </w:rPr>
        <w:t xml:space="preserve"> - državni stručni ispit</w:t>
      </w:r>
      <w:r w:rsidR="00972658">
        <w:rPr>
          <w:rFonts w:eastAsia="Calibri"/>
          <w:lang w:eastAsia="en-US"/>
        </w:rPr>
        <w:t>i</w:t>
      </w:r>
      <w:r w:rsidR="00B048FA">
        <w:rPr>
          <w:rFonts w:eastAsia="Calibri"/>
          <w:lang w:eastAsia="en-US"/>
        </w:rPr>
        <w:t xml:space="preserve">; </w:t>
      </w:r>
      <w:r w:rsidR="004B25A3" w:rsidRPr="00242D81">
        <w:rPr>
          <w:rFonts w:eastAsia="Calibri"/>
          <w:lang w:eastAsia="en-US"/>
        </w:rPr>
        <w:t>Hrvatski državni arhiv</w:t>
      </w:r>
      <w:r w:rsidR="00B862B2" w:rsidRPr="00242D81">
        <w:rPr>
          <w:rFonts w:eastAsia="Calibri"/>
          <w:lang w:eastAsia="en-US"/>
        </w:rPr>
        <w:t xml:space="preserve"> – </w:t>
      </w:r>
      <w:r w:rsidR="004B25A3" w:rsidRPr="00242D81">
        <w:rPr>
          <w:rFonts w:eastAsia="Calibri"/>
          <w:lang w:eastAsia="en-US"/>
        </w:rPr>
        <w:t xml:space="preserve">stručni </w:t>
      </w:r>
      <w:r w:rsidR="003F4067" w:rsidRPr="003F4067">
        <w:rPr>
          <w:rFonts w:eastAsia="Calibri"/>
          <w:lang w:eastAsia="en-US"/>
        </w:rPr>
        <w:t xml:space="preserve">ispit </w:t>
      </w:r>
      <w:r w:rsidR="0009658A">
        <w:rPr>
          <w:rFonts w:eastAsia="Calibri"/>
          <w:lang w:eastAsia="en-US"/>
        </w:rPr>
        <w:t>za upravljanje dokumentima i arhivskim gradivom izvan arhiva</w:t>
      </w:r>
      <w:r w:rsidR="003F4067">
        <w:rPr>
          <w:rFonts w:eastAsia="Calibri"/>
          <w:lang w:eastAsia="en-US"/>
        </w:rPr>
        <w:t>)</w:t>
      </w:r>
      <w:r w:rsidR="000838FC">
        <w:rPr>
          <w:rFonts w:eastAsia="Calibri"/>
          <w:lang w:eastAsia="en-US"/>
        </w:rPr>
        <w:t>;</w:t>
      </w:r>
    </w:p>
    <w:p w14:paraId="55E3295B" w14:textId="4A7326D2" w:rsidR="00242D81" w:rsidRPr="007912B1" w:rsidRDefault="004B25A3" w:rsidP="001F369A">
      <w:pPr>
        <w:pStyle w:val="ListParagraph"/>
        <w:numPr>
          <w:ilvl w:val="0"/>
          <w:numId w:val="14"/>
        </w:numPr>
        <w:suppressAutoHyphens/>
        <w:spacing w:line="259" w:lineRule="auto"/>
        <w:jc w:val="both"/>
        <w:rPr>
          <w:rFonts w:eastAsia="Calibri"/>
          <w:lang w:eastAsia="en-US"/>
        </w:rPr>
      </w:pPr>
      <w:r w:rsidRPr="00242D81">
        <w:rPr>
          <w:rFonts w:eastAsia="Calibri"/>
          <w:lang w:eastAsia="en-US"/>
        </w:rPr>
        <w:t xml:space="preserve">intelektualne usluge (Fakultet elektrotehnike i računarstva – </w:t>
      </w:r>
      <w:r w:rsidR="007912B1">
        <w:rPr>
          <w:rFonts w:eastAsia="Calibri"/>
          <w:lang w:eastAsia="en-US"/>
        </w:rPr>
        <w:t>d</w:t>
      </w:r>
      <w:r w:rsidR="007912B1" w:rsidRPr="007912B1">
        <w:rPr>
          <w:rFonts w:eastAsia="Calibri"/>
          <w:lang w:eastAsia="en-US"/>
        </w:rPr>
        <w:t>efiniranje procedura mjerenja kvalitete usluga u</w:t>
      </w:r>
      <w:r w:rsidR="007912B1">
        <w:rPr>
          <w:rFonts w:eastAsia="Calibri"/>
          <w:lang w:eastAsia="en-US"/>
        </w:rPr>
        <w:t xml:space="preserve"> </w:t>
      </w:r>
      <w:r w:rsidR="007912B1" w:rsidRPr="007912B1">
        <w:rPr>
          <w:rFonts w:eastAsia="Calibri"/>
          <w:lang w:eastAsia="en-US"/>
        </w:rPr>
        <w:t>javnim pokretnim mrežama</w:t>
      </w:r>
      <w:r w:rsidRPr="007912B1">
        <w:rPr>
          <w:rFonts w:eastAsia="Calibri"/>
          <w:lang w:eastAsia="en-US"/>
        </w:rPr>
        <w:t>;</w:t>
      </w:r>
      <w:r w:rsidR="007912B1">
        <w:rPr>
          <w:rFonts w:eastAsia="Calibri"/>
          <w:lang w:eastAsia="en-US"/>
        </w:rPr>
        <w:t xml:space="preserve"> </w:t>
      </w:r>
      <w:r w:rsidR="001F369A" w:rsidRPr="001F369A">
        <w:rPr>
          <w:rFonts w:eastAsia="Calibri"/>
          <w:lang w:eastAsia="en-US"/>
        </w:rPr>
        <w:t>Hrvatski zavod za norme</w:t>
      </w:r>
      <w:r w:rsidR="001F369A">
        <w:rPr>
          <w:rFonts w:eastAsia="Calibri"/>
          <w:lang w:eastAsia="en-US"/>
        </w:rPr>
        <w:t xml:space="preserve"> - </w:t>
      </w:r>
      <w:r w:rsidR="001F369A" w:rsidRPr="001F369A">
        <w:rPr>
          <w:rFonts w:eastAsia="Calibri"/>
          <w:lang w:eastAsia="en-US"/>
        </w:rPr>
        <w:t>HRN EN ISO</w:t>
      </w:r>
      <w:r w:rsidRPr="007912B1">
        <w:rPr>
          <w:rFonts w:eastAsia="Calibri"/>
          <w:lang w:eastAsia="en-US"/>
        </w:rPr>
        <w:t>)</w:t>
      </w:r>
      <w:r w:rsidR="00B8123B">
        <w:rPr>
          <w:rFonts w:eastAsia="Calibri"/>
          <w:lang w:eastAsia="en-US"/>
        </w:rPr>
        <w:t>;</w:t>
      </w:r>
    </w:p>
    <w:p w14:paraId="45FB533A" w14:textId="5DE4AF8D" w:rsidR="00242D81" w:rsidRDefault="00807EFB" w:rsidP="00B8123B">
      <w:pPr>
        <w:pStyle w:val="ListParagraph"/>
        <w:numPr>
          <w:ilvl w:val="0"/>
          <w:numId w:val="14"/>
        </w:numPr>
        <w:suppressAutoHyphens/>
        <w:spacing w:line="259" w:lineRule="auto"/>
        <w:jc w:val="both"/>
        <w:rPr>
          <w:rFonts w:eastAsia="Calibri"/>
          <w:lang w:eastAsia="en-US"/>
        </w:rPr>
      </w:pPr>
      <w:r w:rsidRPr="00242D81">
        <w:rPr>
          <w:rFonts w:eastAsia="Calibri"/>
          <w:lang w:eastAsia="en-US"/>
        </w:rPr>
        <w:t>usluge promidžbe (Fakultet elektrotehnike i računarstva</w:t>
      </w:r>
      <w:r w:rsidR="001E49BB" w:rsidRPr="00242D81">
        <w:rPr>
          <w:rFonts w:eastAsia="Calibri"/>
          <w:lang w:eastAsia="en-US"/>
        </w:rPr>
        <w:t xml:space="preserve"> – </w:t>
      </w:r>
      <w:r w:rsidR="00B8123B">
        <w:rPr>
          <w:rFonts w:eastAsia="Calibri"/>
          <w:lang w:eastAsia="en-US"/>
        </w:rPr>
        <w:t>a</w:t>
      </w:r>
      <w:r w:rsidR="00B8123B" w:rsidRPr="00B8123B">
        <w:rPr>
          <w:rFonts w:eastAsia="Calibri"/>
          <w:lang w:eastAsia="en-US"/>
        </w:rPr>
        <w:t>žuriranje i nadogradnja Kalkulatora privatnosti na sjedištu</w:t>
      </w:r>
      <w:r w:rsidR="00241CF3">
        <w:rPr>
          <w:rFonts w:eastAsia="Calibri"/>
          <w:lang w:eastAsia="en-US"/>
        </w:rPr>
        <w:t xml:space="preserve"> </w:t>
      </w:r>
      <w:r w:rsidR="00B8123B" w:rsidRPr="00B8123B">
        <w:rPr>
          <w:rFonts w:eastAsia="Calibri"/>
          <w:lang w:eastAsia="en-US"/>
        </w:rPr>
        <w:t>-</w:t>
      </w:r>
      <w:r w:rsidR="00241CF3">
        <w:rPr>
          <w:rFonts w:eastAsia="Calibri"/>
          <w:lang w:eastAsia="en-US"/>
        </w:rPr>
        <w:t xml:space="preserve"> </w:t>
      </w:r>
      <w:r w:rsidR="00B8123B" w:rsidRPr="00B8123B">
        <w:rPr>
          <w:rFonts w:eastAsia="Calibri"/>
          <w:lang w:eastAsia="en-US"/>
        </w:rPr>
        <w:t>privatnost.hakom.hr</w:t>
      </w:r>
      <w:r w:rsidR="00B8123B">
        <w:rPr>
          <w:rFonts w:eastAsia="Calibri"/>
          <w:lang w:eastAsia="en-US"/>
        </w:rPr>
        <w:t>; ELMAR 2022.</w:t>
      </w:r>
      <w:r w:rsidR="00241CF3">
        <w:rPr>
          <w:rFonts w:eastAsia="Calibri"/>
          <w:lang w:eastAsia="en-US"/>
        </w:rPr>
        <w:t>);</w:t>
      </w:r>
      <w:r w:rsidRPr="00242D81">
        <w:rPr>
          <w:rFonts w:eastAsia="Calibri"/>
          <w:lang w:eastAsia="en-US"/>
        </w:rPr>
        <w:t xml:space="preserve"> </w:t>
      </w:r>
    </w:p>
    <w:p w14:paraId="0DF7E1E4" w14:textId="1DE85958" w:rsidR="00242D81" w:rsidRDefault="00807EFB" w:rsidP="00125B91">
      <w:pPr>
        <w:pStyle w:val="ListParagraph"/>
        <w:numPr>
          <w:ilvl w:val="0"/>
          <w:numId w:val="14"/>
        </w:numPr>
        <w:suppressAutoHyphens/>
        <w:spacing w:line="259" w:lineRule="auto"/>
        <w:jc w:val="both"/>
        <w:rPr>
          <w:rFonts w:eastAsia="Calibri"/>
          <w:lang w:eastAsia="en-US"/>
        </w:rPr>
      </w:pPr>
      <w:r w:rsidRPr="00242D81">
        <w:rPr>
          <w:rFonts w:eastAsia="Calibri"/>
          <w:lang w:eastAsia="en-US"/>
        </w:rPr>
        <w:t>ostale usluge (Fakultet elektrotehnike i računarstva –</w:t>
      </w:r>
      <w:r w:rsidR="00125B91">
        <w:rPr>
          <w:rFonts w:eastAsia="Calibri"/>
          <w:lang w:eastAsia="en-US"/>
        </w:rPr>
        <w:t xml:space="preserve"> p</w:t>
      </w:r>
      <w:r w:rsidR="00125B91" w:rsidRPr="00125B91">
        <w:rPr>
          <w:rFonts w:eastAsia="Calibri"/>
          <w:lang w:eastAsia="en-US"/>
        </w:rPr>
        <w:t>rojekt Pristupačnost 2022 "Podizanje svijesti u društvu i pristupačnosti korisničkih usluga osobama s invaliditetom"</w:t>
      </w:r>
      <w:r w:rsidRPr="00242D81">
        <w:rPr>
          <w:rFonts w:eastAsia="Calibri"/>
          <w:lang w:eastAsia="en-US"/>
        </w:rPr>
        <w:t>)</w:t>
      </w:r>
      <w:r w:rsidR="00125B91">
        <w:rPr>
          <w:rFonts w:eastAsia="Calibri"/>
          <w:lang w:eastAsia="en-US"/>
        </w:rPr>
        <w:t>;</w:t>
      </w:r>
    </w:p>
    <w:p w14:paraId="4A1A36A0" w14:textId="784699C2" w:rsidR="00242D81" w:rsidRDefault="00F764B8" w:rsidP="00242D81">
      <w:pPr>
        <w:pStyle w:val="ListParagraph"/>
        <w:numPr>
          <w:ilvl w:val="0"/>
          <w:numId w:val="14"/>
        </w:numPr>
        <w:suppressAutoHyphens/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obveze za </w:t>
      </w:r>
      <w:r w:rsidR="00242D81" w:rsidRPr="00242D81">
        <w:rPr>
          <w:rFonts w:eastAsia="Calibri"/>
          <w:lang w:eastAsia="en-US"/>
        </w:rPr>
        <w:t xml:space="preserve">povrat pogrešno uplaćenih sredstava koja su </w:t>
      </w:r>
      <w:r w:rsidR="005B391E">
        <w:rPr>
          <w:rFonts w:eastAsia="Calibri"/>
          <w:lang w:eastAsia="en-US"/>
        </w:rPr>
        <w:t xml:space="preserve">poslovni subjekti </w:t>
      </w:r>
      <w:r w:rsidR="006D3B1D">
        <w:rPr>
          <w:rFonts w:eastAsia="Calibri"/>
          <w:lang w:eastAsia="en-US"/>
        </w:rPr>
        <w:t xml:space="preserve">umjesto u Državni proračun </w:t>
      </w:r>
      <w:r w:rsidR="00242D81" w:rsidRPr="00242D81">
        <w:rPr>
          <w:rFonts w:eastAsia="Calibri"/>
          <w:lang w:eastAsia="en-US"/>
        </w:rPr>
        <w:t xml:space="preserve">uplatili </w:t>
      </w:r>
      <w:r w:rsidR="001C343B">
        <w:rPr>
          <w:rFonts w:eastAsia="Calibri"/>
          <w:lang w:eastAsia="en-US"/>
        </w:rPr>
        <w:t xml:space="preserve">na žiro-račun </w:t>
      </w:r>
      <w:r w:rsidR="00242D81" w:rsidRPr="00242D81">
        <w:rPr>
          <w:rFonts w:eastAsia="Calibri"/>
          <w:lang w:eastAsia="en-US"/>
        </w:rPr>
        <w:t>HAKOM</w:t>
      </w:r>
      <w:r w:rsidR="001C343B">
        <w:rPr>
          <w:rFonts w:eastAsia="Calibri"/>
          <w:lang w:eastAsia="en-US"/>
        </w:rPr>
        <w:t>-a</w:t>
      </w:r>
      <w:r w:rsidR="006D3B1D">
        <w:rPr>
          <w:rFonts w:eastAsia="Calibri"/>
          <w:lang w:eastAsia="en-US"/>
        </w:rPr>
        <w:t xml:space="preserve"> (</w:t>
      </w:r>
      <w:r w:rsidR="004C6E85">
        <w:rPr>
          <w:rFonts w:eastAsia="Calibri"/>
          <w:lang w:eastAsia="en-US"/>
        </w:rPr>
        <w:t>naknade za upotrebu</w:t>
      </w:r>
      <w:r w:rsidR="006D3B1D">
        <w:rPr>
          <w:rFonts w:eastAsia="Calibri"/>
          <w:lang w:eastAsia="en-US"/>
        </w:rPr>
        <w:t xml:space="preserve"> </w:t>
      </w:r>
      <w:r w:rsidR="008B62B9">
        <w:rPr>
          <w:rFonts w:eastAsia="Calibri"/>
          <w:lang w:eastAsia="en-US"/>
        </w:rPr>
        <w:t>RF</w:t>
      </w:r>
      <w:r w:rsidR="006D3B1D">
        <w:rPr>
          <w:rFonts w:eastAsia="Calibri"/>
          <w:lang w:eastAsia="en-US"/>
        </w:rPr>
        <w:t xml:space="preserve"> spektra)</w:t>
      </w:r>
      <w:r w:rsidR="0008075C">
        <w:rPr>
          <w:rFonts w:eastAsia="Calibri"/>
          <w:lang w:eastAsia="en-US"/>
        </w:rPr>
        <w:t>;</w:t>
      </w:r>
    </w:p>
    <w:p w14:paraId="7E48DEB1" w14:textId="2FBFF2CD" w:rsidR="001F58AF" w:rsidRDefault="004C6E85" w:rsidP="00032D50">
      <w:pPr>
        <w:pStyle w:val="ListParagraph"/>
        <w:numPr>
          <w:ilvl w:val="0"/>
          <w:numId w:val="14"/>
        </w:numPr>
        <w:suppressAutoHyphens/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članarine</w:t>
      </w:r>
      <w:r w:rsidR="0008075C">
        <w:rPr>
          <w:rFonts w:eastAsia="Calibri"/>
          <w:lang w:eastAsia="en-US"/>
        </w:rPr>
        <w:t xml:space="preserve"> </w:t>
      </w:r>
      <w:r w:rsidR="00242D81">
        <w:rPr>
          <w:rFonts w:eastAsia="Calibri"/>
          <w:lang w:eastAsia="en-US"/>
        </w:rPr>
        <w:t>(Hrvatski zavod za norme) i drugo.</w:t>
      </w:r>
      <w:r w:rsidR="008A6DD0" w:rsidRPr="00242D81">
        <w:rPr>
          <w:rFonts w:eastAsia="Calibri"/>
          <w:lang w:eastAsia="en-US"/>
        </w:rPr>
        <w:t xml:space="preserve"> </w:t>
      </w:r>
      <w:r w:rsidR="00C92491" w:rsidRPr="00242D81">
        <w:rPr>
          <w:rFonts w:eastAsia="Calibri"/>
          <w:lang w:eastAsia="en-US"/>
        </w:rPr>
        <w:t xml:space="preserve"> </w:t>
      </w:r>
    </w:p>
    <w:p w14:paraId="0944122E" w14:textId="77777777" w:rsidR="00032D50" w:rsidRDefault="00032D50" w:rsidP="00032D50">
      <w:pPr>
        <w:pStyle w:val="ListParagraph"/>
        <w:suppressAutoHyphens/>
        <w:spacing w:line="259" w:lineRule="auto"/>
        <w:jc w:val="both"/>
        <w:rPr>
          <w:rFonts w:eastAsia="Calibri"/>
          <w:lang w:eastAsia="en-US"/>
        </w:rPr>
      </w:pPr>
    </w:p>
    <w:p w14:paraId="1652132E" w14:textId="6692B880" w:rsidR="002476CA" w:rsidRPr="002476CA" w:rsidRDefault="002476CA" w:rsidP="002476CA">
      <w:pPr>
        <w:suppressAutoHyphens/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Ostale tekuće obveze na dan 31. prosinca 202</w:t>
      </w:r>
      <w:r w:rsidR="002E393A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. su evidentirane u iznosu od </w:t>
      </w:r>
      <w:r w:rsidR="002E393A">
        <w:rPr>
          <w:rFonts w:eastAsia="Calibri"/>
          <w:lang w:eastAsia="en-US"/>
        </w:rPr>
        <w:t>59.794.073,90</w:t>
      </w:r>
      <w:r>
        <w:rPr>
          <w:rFonts w:eastAsia="Calibri"/>
          <w:lang w:eastAsia="en-US"/>
        </w:rPr>
        <w:t xml:space="preserve"> kn te su se odnosile na </w:t>
      </w:r>
      <w:r w:rsidR="00AD7DFA">
        <w:rPr>
          <w:rFonts w:eastAsia="Calibri"/>
          <w:lang w:eastAsia="en-US"/>
        </w:rPr>
        <w:t xml:space="preserve">obveze za jamčevine </w:t>
      </w:r>
      <w:r w:rsidR="00B452E9">
        <w:rPr>
          <w:rFonts w:eastAsia="Calibri"/>
          <w:lang w:eastAsia="en-US"/>
        </w:rPr>
        <w:t xml:space="preserve">(za </w:t>
      </w:r>
      <w:r w:rsidR="00B452E9" w:rsidRPr="00B452E9">
        <w:rPr>
          <w:rFonts w:eastAsia="Calibri"/>
          <w:lang w:eastAsia="en-US"/>
        </w:rPr>
        <w:t>ozbiljnost i valjanost sudjelovanja u postupku javne dražbe</w:t>
      </w:r>
      <w:r w:rsidR="007A0801" w:rsidRPr="007A0801">
        <w:t xml:space="preserve"> </w:t>
      </w:r>
      <w:r w:rsidR="007A0801" w:rsidRPr="007A0801">
        <w:rPr>
          <w:rFonts w:eastAsia="Calibri"/>
          <w:lang w:eastAsia="en-US"/>
        </w:rPr>
        <w:t>za dodjelu radiofrekvencijskog spektra</w:t>
      </w:r>
      <w:r w:rsidR="00B452E9">
        <w:rPr>
          <w:rFonts w:eastAsia="Calibri"/>
          <w:lang w:eastAsia="en-US"/>
        </w:rPr>
        <w:t xml:space="preserve">, </w:t>
      </w:r>
      <w:r w:rsidR="00AD7DFA">
        <w:rPr>
          <w:rFonts w:eastAsia="Calibri"/>
          <w:lang w:eastAsia="en-US"/>
        </w:rPr>
        <w:t>za ozbiljnost ponude</w:t>
      </w:r>
      <w:r w:rsidR="00B452E9">
        <w:rPr>
          <w:rFonts w:eastAsia="Calibri"/>
          <w:lang w:eastAsia="en-US"/>
        </w:rPr>
        <w:t xml:space="preserve"> u postupku javne nabave te za uredno ispunjenje ugovora) u iznosu od </w:t>
      </w:r>
      <w:r w:rsidR="00AD7DFA">
        <w:rPr>
          <w:rFonts w:eastAsia="Calibri"/>
          <w:lang w:eastAsia="en-US"/>
        </w:rPr>
        <w:t xml:space="preserve">59.388.762,01 kn, obveze za predujmove od kupaca (373.906,45 kn) i </w:t>
      </w:r>
      <w:r>
        <w:rPr>
          <w:rFonts w:eastAsia="Calibri"/>
          <w:lang w:eastAsia="en-US"/>
        </w:rPr>
        <w:t xml:space="preserve">obveze za porez na dodanu vrijednost </w:t>
      </w:r>
      <w:r w:rsidR="00D4762E">
        <w:rPr>
          <w:rFonts w:eastAsia="Calibri"/>
          <w:lang w:eastAsia="en-US"/>
        </w:rPr>
        <w:t>na</w:t>
      </w:r>
      <w:r>
        <w:rPr>
          <w:rFonts w:eastAsia="Calibri"/>
          <w:lang w:eastAsia="en-US"/>
        </w:rPr>
        <w:t xml:space="preserve"> inozemne usluge za prosinac 202</w:t>
      </w:r>
      <w:r w:rsidR="00AD7DFA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. </w:t>
      </w:r>
      <w:r w:rsidR="00093F01">
        <w:rPr>
          <w:rFonts w:eastAsia="Calibri"/>
          <w:lang w:eastAsia="en-US"/>
        </w:rPr>
        <w:t>(</w:t>
      </w:r>
      <w:r w:rsidR="00AD7DFA">
        <w:rPr>
          <w:rFonts w:eastAsia="Calibri"/>
          <w:lang w:eastAsia="en-US"/>
        </w:rPr>
        <w:t>31.405,44</w:t>
      </w:r>
      <w:r w:rsidR="00093F01">
        <w:rPr>
          <w:rFonts w:eastAsia="Calibri"/>
          <w:lang w:eastAsia="en-US"/>
        </w:rPr>
        <w:t xml:space="preserve"> kn)</w:t>
      </w:r>
      <w:r w:rsidR="00AD7DFA">
        <w:rPr>
          <w:rFonts w:eastAsia="Calibri"/>
          <w:lang w:eastAsia="en-US"/>
        </w:rPr>
        <w:t>.</w:t>
      </w:r>
      <w:r w:rsidR="00FD5A2B">
        <w:rPr>
          <w:rFonts w:eastAsia="Calibri"/>
          <w:lang w:eastAsia="en-US"/>
        </w:rPr>
        <w:t xml:space="preserve"> </w:t>
      </w:r>
    </w:p>
    <w:p w14:paraId="14512DA0" w14:textId="77777777" w:rsidR="00D703E2" w:rsidRDefault="00D703E2" w:rsidP="00D703E2">
      <w:pPr>
        <w:suppressAutoHyphens/>
        <w:spacing w:line="259" w:lineRule="auto"/>
        <w:jc w:val="both"/>
        <w:rPr>
          <w:rFonts w:eastAsia="Calibri"/>
          <w:lang w:eastAsia="en-US"/>
        </w:rPr>
      </w:pPr>
    </w:p>
    <w:p w14:paraId="11A5EC86" w14:textId="77777777" w:rsidR="00833082" w:rsidRPr="000E7D95" w:rsidRDefault="00833082" w:rsidP="00D703E2">
      <w:pPr>
        <w:suppressAutoHyphens/>
        <w:spacing w:line="259" w:lineRule="auto"/>
        <w:jc w:val="both"/>
        <w:rPr>
          <w:rFonts w:eastAsia="Calibri"/>
          <w:lang w:eastAsia="en-US"/>
        </w:rPr>
      </w:pPr>
    </w:p>
    <w:p w14:paraId="26C36E2E" w14:textId="45200619" w:rsidR="00A65998" w:rsidRPr="00D65CB4" w:rsidRDefault="001F5A39" w:rsidP="00A65998">
      <w:pPr>
        <w:suppressAutoHyphens/>
        <w:spacing w:after="160" w:line="259" w:lineRule="auto"/>
        <w:rPr>
          <w:rFonts w:eastAsia="Calibri"/>
          <w:lang w:eastAsia="en-US"/>
        </w:rPr>
      </w:pPr>
      <w:r w:rsidRPr="006728DA">
        <w:rPr>
          <w:rFonts w:eastAsia="Calibri"/>
          <w:lang w:eastAsia="en-US"/>
        </w:rPr>
        <w:t xml:space="preserve">U Zagrebu, </w:t>
      </w:r>
      <w:r w:rsidR="00060FD5">
        <w:rPr>
          <w:rFonts w:eastAsia="Calibri"/>
          <w:lang w:eastAsia="en-US"/>
        </w:rPr>
        <w:t>30</w:t>
      </w:r>
      <w:r w:rsidRPr="006728DA">
        <w:rPr>
          <w:rFonts w:eastAsia="Calibri"/>
          <w:lang w:eastAsia="en-US"/>
        </w:rPr>
        <w:t>. siječnja 20</w:t>
      </w:r>
      <w:r>
        <w:rPr>
          <w:rFonts w:eastAsia="Calibri"/>
          <w:lang w:eastAsia="en-US"/>
        </w:rPr>
        <w:t>2</w:t>
      </w:r>
      <w:r w:rsidR="00060FD5">
        <w:rPr>
          <w:rFonts w:eastAsia="Calibri"/>
          <w:lang w:eastAsia="en-US"/>
        </w:rPr>
        <w:t>3</w:t>
      </w:r>
      <w:r w:rsidRPr="006728DA">
        <w:rPr>
          <w:rFonts w:eastAsia="Calibri"/>
          <w:lang w:eastAsia="en-US"/>
        </w:rPr>
        <w:t>.</w:t>
      </w:r>
      <w:r w:rsidRPr="006728DA">
        <w:rPr>
          <w:rFonts w:eastAsia="Calibri"/>
          <w:lang w:eastAsia="en-US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01"/>
        <w:gridCol w:w="4837"/>
      </w:tblGrid>
      <w:tr w:rsidR="00A65998" w:rsidRPr="000E7D95" w14:paraId="71806AF9" w14:textId="77777777" w:rsidTr="00AA61AC">
        <w:tc>
          <w:tcPr>
            <w:tcW w:w="4927" w:type="dxa"/>
            <w:shd w:val="clear" w:color="auto" w:fill="auto"/>
          </w:tcPr>
          <w:p w14:paraId="32669FB9" w14:textId="77777777" w:rsidR="00A65998" w:rsidRPr="000E7D95" w:rsidRDefault="00A65998" w:rsidP="00AA61AC">
            <w:pPr>
              <w:suppressAutoHyphens/>
              <w:spacing w:after="160" w:line="259" w:lineRule="auto"/>
              <w:rPr>
                <w:rFonts w:ascii="HelveticaNeueLT Com 47 LtCn" w:eastAsia="Calibri" w:hAnsi="HelveticaNeueLT Com 47 LtCn"/>
                <w:sz w:val="22"/>
                <w:szCs w:val="22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14:paraId="260A3AD9" w14:textId="77777777" w:rsidR="00A65998" w:rsidRPr="000E7D95" w:rsidRDefault="00A65998" w:rsidP="00AA61AC">
            <w:pPr>
              <w:tabs>
                <w:tab w:val="center" w:pos="7655"/>
              </w:tabs>
              <w:suppressAutoHyphens/>
              <w:spacing w:before="240" w:after="600"/>
              <w:jc w:val="center"/>
              <w:rPr>
                <w:b/>
                <w:i/>
                <w:caps/>
                <w:sz w:val="20"/>
              </w:rPr>
            </w:pPr>
            <w:r w:rsidRPr="000E7D95">
              <w:rPr>
                <w:b/>
                <w:i/>
                <w:caps/>
                <w:sz w:val="20"/>
              </w:rPr>
              <w:t>Predsjednik Vijeća</w:t>
            </w:r>
          </w:p>
        </w:tc>
      </w:tr>
      <w:tr w:rsidR="00A65998" w:rsidRPr="000E7D95" w14:paraId="58D7BF4A" w14:textId="77777777" w:rsidTr="00AA61AC">
        <w:tc>
          <w:tcPr>
            <w:tcW w:w="4927" w:type="dxa"/>
            <w:shd w:val="clear" w:color="auto" w:fill="auto"/>
          </w:tcPr>
          <w:p w14:paraId="6694D1FC" w14:textId="77777777" w:rsidR="00A65998" w:rsidRPr="000E7D95" w:rsidRDefault="00A65998" w:rsidP="00AA61AC">
            <w:pPr>
              <w:suppressAutoHyphens/>
              <w:spacing w:after="160" w:line="259" w:lineRule="auto"/>
              <w:rPr>
                <w:rFonts w:ascii="HelveticaNeueLT Com 47 LtCn" w:eastAsia="Calibri" w:hAnsi="HelveticaNeueLT Com 47 LtCn"/>
                <w:sz w:val="22"/>
                <w:szCs w:val="22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14:paraId="76489061" w14:textId="77777777" w:rsidR="00A65998" w:rsidRPr="000E7D95" w:rsidRDefault="00A65998" w:rsidP="00AA61AC">
            <w:pPr>
              <w:tabs>
                <w:tab w:val="center" w:pos="7655"/>
              </w:tabs>
              <w:suppressAutoHyphens/>
              <w:spacing w:after="600"/>
              <w:jc w:val="center"/>
              <w:rPr>
                <w:b/>
                <w:i/>
                <w:sz w:val="22"/>
              </w:rPr>
            </w:pPr>
            <w:r w:rsidRPr="000E7D95">
              <w:rPr>
                <w:b/>
                <w:i/>
                <w:sz w:val="22"/>
              </w:rPr>
              <w:t>Tonko Obuljen</w:t>
            </w:r>
          </w:p>
        </w:tc>
      </w:tr>
    </w:tbl>
    <w:p w14:paraId="4BDF505C" w14:textId="77777777" w:rsidR="0081419C" w:rsidRPr="00A65998" w:rsidRDefault="0081419C" w:rsidP="00F57AE3"/>
    <w:sectPr w:rsidR="0081419C" w:rsidRPr="00A65998" w:rsidSect="00F57AE3">
      <w:pgSz w:w="11906" w:h="16838" w:code="9"/>
      <w:pgMar w:top="1701" w:right="1134" w:bottom="1418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1180F" w14:textId="77777777" w:rsidR="00F97669" w:rsidRDefault="00F97669">
      <w:r>
        <w:separator/>
      </w:r>
    </w:p>
  </w:endnote>
  <w:endnote w:type="continuationSeparator" w:id="0">
    <w:p w14:paraId="4814D485" w14:textId="77777777" w:rsidR="00F97669" w:rsidRDefault="00F9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CE-Regular">
    <w:altName w:val="Times New Roman"/>
    <w:panose1 w:val="00000000000000000000"/>
    <w:charset w:val="EE"/>
    <w:family w:val="auto"/>
    <w:notTrueType/>
    <w:pitch w:val="variable"/>
    <w:sig w:usb0="00000001" w:usb1="00000000" w:usb2="00000000" w:usb3="00000000" w:csb0="0000000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NeueLT Com 47 LtCn">
    <w:altName w:val="Arial Narrow"/>
    <w:charset w:val="EE"/>
    <w:family w:val="swiss"/>
    <w:pitch w:val="variable"/>
    <w:sig w:usb0="00000001" w:usb1="10002042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226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4B9C21" w14:textId="20F8130A" w:rsidR="00246565" w:rsidRDefault="002465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E8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128375D1" w14:textId="77777777" w:rsidR="00246565" w:rsidRDefault="00246565">
    <w:pPr>
      <w:pStyle w:val="Footer"/>
    </w:pPr>
  </w:p>
  <w:p w14:paraId="32FFB0C5" w14:textId="77777777" w:rsidR="00246565" w:rsidRDefault="00246565"/>
  <w:p w14:paraId="3074C8C8" w14:textId="77777777" w:rsidR="00246565" w:rsidRDefault="00246565"/>
  <w:p w14:paraId="777B4A45" w14:textId="77777777" w:rsidR="00246565" w:rsidRDefault="0024656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1DD71" w14:textId="77777777" w:rsidR="00246565" w:rsidRPr="008639AE" w:rsidRDefault="00246565" w:rsidP="00192D15">
    <w:pPr>
      <w:pStyle w:val="Footer"/>
      <w:tabs>
        <w:tab w:val="clear" w:pos="4320"/>
        <w:tab w:val="clear" w:pos="8640"/>
      </w:tabs>
      <w:spacing w:line="240" w:lineRule="auto"/>
      <w:ind w:left="-357" w:right="-357"/>
      <w:rPr>
        <w:rFonts w:ascii="DINCE-Regular" w:hAnsi="DINCE-Regular"/>
      </w:rPr>
    </w:pPr>
    <w:r w:rsidRPr="008639AE">
      <w:rPr>
        <w:rFonts w:ascii="DINCE-Regular" w:hAnsi="DINCE-Regular"/>
        <w:noProof/>
      </w:rPr>
      <mc:AlternateContent>
        <mc:Choice Requires="wps">
          <w:drawing>
            <wp:inline distT="0" distB="0" distL="0" distR="0" wp14:anchorId="0851DD76" wp14:editId="0851DD77">
              <wp:extent cx="6480175" cy="0"/>
              <wp:effectExtent l="9525" t="9525" r="6350" b="9525"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241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8C03D77" id="Line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" strokecolor="#024182" strokeweight=".1pt">
              <w10:anchorlock/>
            </v:line>
          </w:pict>
        </mc:Fallback>
      </mc:AlternateContent>
    </w:r>
  </w:p>
  <w:p w14:paraId="0851DD72" w14:textId="77777777" w:rsidR="00246565" w:rsidRPr="00605B1D" w:rsidRDefault="00246565" w:rsidP="005B56E5">
    <w:pPr>
      <w:pStyle w:val="Footer"/>
      <w:tabs>
        <w:tab w:val="clear" w:pos="4320"/>
        <w:tab w:val="clear" w:pos="8640"/>
      </w:tabs>
      <w:spacing w:before="80"/>
      <w:rPr>
        <w:rFonts w:ascii="Corbel" w:hAnsi="Corbel"/>
        <w:b/>
        <w:sz w:val="15"/>
        <w:szCs w:val="15"/>
      </w:rPr>
    </w:pPr>
    <w:r w:rsidRPr="00605B1D">
      <w:rPr>
        <w:rFonts w:ascii="Corbel" w:hAnsi="Corbel"/>
        <w:b/>
        <w:sz w:val="15"/>
        <w:szCs w:val="15"/>
      </w:rPr>
      <w:t>HRVATSKA REGULATORNA AGENCIJA ZA MREŽNE DJELATNOSTI</w:t>
    </w:r>
  </w:p>
  <w:p w14:paraId="0851DD73" w14:textId="56F59D30" w:rsidR="00246565" w:rsidRPr="005B56E5" w:rsidRDefault="00246565" w:rsidP="005B56E5">
    <w:pPr>
      <w:pStyle w:val="Footer"/>
      <w:tabs>
        <w:tab w:val="clear" w:pos="4320"/>
        <w:tab w:val="clear" w:pos="8640"/>
      </w:tabs>
      <w:ind w:left="-142" w:right="-143"/>
      <w:rPr>
        <w:rFonts w:ascii="Corbel" w:hAnsi="Corbel"/>
        <w:sz w:val="15"/>
        <w:szCs w:val="15"/>
      </w:rPr>
    </w:pPr>
    <w:r>
      <w:rPr>
        <w:rFonts w:ascii="Corbel" w:hAnsi="Corbel"/>
        <w:sz w:val="15"/>
        <w:szCs w:val="15"/>
      </w:rPr>
      <w:t xml:space="preserve">Ulica </w:t>
    </w:r>
    <w:r w:rsidRPr="00605B1D">
      <w:rPr>
        <w:rFonts w:ascii="Corbel" w:hAnsi="Corbel"/>
        <w:sz w:val="15"/>
        <w:szCs w:val="15"/>
      </w:rPr>
      <w:t>Roberta Frangeša</w:t>
    </w:r>
    <w:r>
      <w:rPr>
        <w:rFonts w:ascii="Corbel" w:hAnsi="Corbel"/>
        <w:sz w:val="15"/>
        <w:szCs w:val="15"/>
      </w:rPr>
      <w:t>-</w:t>
    </w:r>
    <w:r w:rsidRPr="00605B1D">
      <w:rPr>
        <w:rFonts w:ascii="Corbel" w:hAnsi="Corbel"/>
        <w:sz w:val="15"/>
        <w:szCs w:val="15"/>
      </w:rPr>
      <w:t>Mihanovi</w:t>
    </w:r>
    <w:r w:rsidRPr="00605B1D">
      <w:rPr>
        <w:rFonts w:ascii="Corbel" w:hAnsi="Corbel" w:cs="Cambria"/>
        <w:sz w:val="15"/>
        <w:szCs w:val="15"/>
      </w:rPr>
      <w:t>ć</w:t>
    </w:r>
    <w:r w:rsidRPr="00605B1D">
      <w:rPr>
        <w:rFonts w:ascii="Corbel" w:hAnsi="Corbel"/>
        <w:sz w:val="15"/>
        <w:szCs w:val="15"/>
      </w:rPr>
      <w:t>a 9, 10110 Zagreb / OIB: 87950783661 / Tel: (01) 7007 007, Faks: (01) 7007 070 / www.hakom.hr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E66B6" w14:textId="77777777" w:rsidR="00F97669" w:rsidRDefault="00F97669">
      <w:r>
        <w:separator/>
      </w:r>
    </w:p>
  </w:footnote>
  <w:footnote w:type="continuationSeparator" w:id="0">
    <w:p w14:paraId="4BA62F7F" w14:textId="77777777" w:rsidR="00F97669" w:rsidRDefault="00F97669">
      <w:r>
        <w:continuationSeparator/>
      </w:r>
    </w:p>
  </w:footnote>
  <w:footnote w:id="1">
    <w:p w14:paraId="3EEB72E0" w14:textId="22915E99" w:rsidR="00731E82" w:rsidRDefault="00731E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31E82">
        <w:t xml:space="preserve">Podaci o tužitelju su </w:t>
      </w:r>
      <w:proofErr w:type="spellStart"/>
      <w:r w:rsidRPr="00731E82">
        <w:t>anonimizirani</w:t>
      </w:r>
      <w:proofErr w:type="spellEnd"/>
      <w:r w:rsidRPr="00731E82">
        <w:t xml:space="preserve"> u svrhu zaštite osobnih podataka fizičkih osoba, sukladno propisima koji uređuju zaštitu osobnih podataka.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1DD6D" w14:textId="77777777" w:rsidR="00246565" w:rsidRDefault="00246565" w:rsidP="00731423">
    <w:pPr>
      <w:pStyle w:val="Header"/>
      <w:tabs>
        <w:tab w:val="clear" w:pos="4536"/>
        <w:tab w:val="clear" w:pos="9072"/>
      </w:tabs>
      <w:ind w:left="-360" w:right="-442"/>
      <w:jc w:val="center"/>
    </w:pPr>
  </w:p>
  <w:p w14:paraId="6C6E8E30" w14:textId="77777777" w:rsidR="00246565" w:rsidRDefault="00246565"/>
  <w:p w14:paraId="0D3823FC" w14:textId="77777777" w:rsidR="00246565" w:rsidRDefault="00246565"/>
  <w:p w14:paraId="7701011C" w14:textId="77777777" w:rsidR="00246565" w:rsidRDefault="0024656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1DD6E" w14:textId="77777777" w:rsidR="00246565" w:rsidRDefault="00246565" w:rsidP="00192D15">
    <w:pPr>
      <w:pStyle w:val="Header"/>
      <w:tabs>
        <w:tab w:val="clear" w:pos="4536"/>
        <w:tab w:val="clear" w:pos="9072"/>
      </w:tabs>
      <w:ind w:left="-357" w:right="-357"/>
      <w:jc w:val="center"/>
    </w:pPr>
    <w:r w:rsidRPr="009F6CDB">
      <w:rPr>
        <w:noProof/>
      </w:rPr>
      <w:drawing>
        <wp:inline distT="0" distB="0" distL="0" distR="0" wp14:anchorId="0851DD74" wp14:editId="0851DD75">
          <wp:extent cx="1057523" cy="1025220"/>
          <wp:effectExtent l="0" t="0" r="0" b="3810"/>
          <wp:docPr id="23" name="Picture 23" descr="\\hzt.local\hakom\Mape_Odjela\KIS\Vizualni identitet HAKOM - javno\HAKOM color logotip 1 ma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\\hzt.local\hakom\Mape_Odjela\KIS\Vizualni identitet HAKOM - javno\HAKOM color logotip 1 mal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152" cy="1030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51DD6F" w14:textId="77777777" w:rsidR="00246565" w:rsidRDefault="00246565" w:rsidP="00192D15">
    <w:pPr>
      <w:pStyle w:val="Header"/>
      <w:tabs>
        <w:tab w:val="clear" w:pos="4536"/>
        <w:tab w:val="clear" w:pos="9072"/>
      </w:tabs>
      <w:ind w:left="-357" w:right="-357"/>
      <w:jc w:val="center"/>
    </w:pPr>
  </w:p>
  <w:p w14:paraId="0851DD70" w14:textId="77777777" w:rsidR="00246565" w:rsidRDefault="00246565" w:rsidP="00192D15">
    <w:pPr>
      <w:pStyle w:val="Header"/>
      <w:tabs>
        <w:tab w:val="clear" w:pos="4536"/>
        <w:tab w:val="clear" w:pos="9072"/>
      </w:tabs>
      <w:spacing w:after="60"/>
      <w:ind w:right="9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3475"/>
    <w:multiLevelType w:val="hybridMultilevel"/>
    <w:tmpl w:val="62F00CF2"/>
    <w:lvl w:ilvl="0" w:tplc="041A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4EB64C6"/>
    <w:multiLevelType w:val="hybridMultilevel"/>
    <w:tmpl w:val="075E248E"/>
    <w:lvl w:ilvl="0" w:tplc="C4BCFA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2427A"/>
    <w:multiLevelType w:val="hybridMultilevel"/>
    <w:tmpl w:val="A91AF922"/>
    <w:lvl w:ilvl="0" w:tplc="709A5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973DE"/>
    <w:multiLevelType w:val="hybridMultilevel"/>
    <w:tmpl w:val="4710BE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F453D"/>
    <w:multiLevelType w:val="hybridMultilevel"/>
    <w:tmpl w:val="8A6238B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F41434"/>
    <w:multiLevelType w:val="hybridMultilevel"/>
    <w:tmpl w:val="5F640F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71CDE"/>
    <w:multiLevelType w:val="hybridMultilevel"/>
    <w:tmpl w:val="60480D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D71DC"/>
    <w:multiLevelType w:val="hybridMultilevel"/>
    <w:tmpl w:val="BD4A71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27334"/>
    <w:multiLevelType w:val="hybridMultilevel"/>
    <w:tmpl w:val="34C4AAB6"/>
    <w:lvl w:ilvl="0" w:tplc="94AC14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A6C40"/>
    <w:multiLevelType w:val="hybridMultilevel"/>
    <w:tmpl w:val="3E444194"/>
    <w:lvl w:ilvl="0" w:tplc="9D0A0A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B20BF"/>
    <w:multiLevelType w:val="hybridMultilevel"/>
    <w:tmpl w:val="E68AD6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E0300"/>
    <w:multiLevelType w:val="hybridMultilevel"/>
    <w:tmpl w:val="8AD244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C2A97"/>
    <w:multiLevelType w:val="hybridMultilevel"/>
    <w:tmpl w:val="B51C9788"/>
    <w:lvl w:ilvl="0" w:tplc="2248A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75E8E"/>
    <w:multiLevelType w:val="hybridMultilevel"/>
    <w:tmpl w:val="645CB5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02CB5"/>
    <w:multiLevelType w:val="hybridMultilevel"/>
    <w:tmpl w:val="A684C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A03754"/>
    <w:multiLevelType w:val="hybridMultilevel"/>
    <w:tmpl w:val="02ACDA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D1F3D"/>
    <w:multiLevelType w:val="hybridMultilevel"/>
    <w:tmpl w:val="4710BE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15"/>
  </w:num>
  <w:num w:numId="5">
    <w:abstractNumId w:val="6"/>
  </w:num>
  <w:num w:numId="6">
    <w:abstractNumId w:val="9"/>
  </w:num>
  <w:num w:numId="7">
    <w:abstractNumId w:val="4"/>
  </w:num>
  <w:num w:numId="8">
    <w:abstractNumId w:val="11"/>
  </w:num>
  <w:num w:numId="9">
    <w:abstractNumId w:val="7"/>
  </w:num>
  <w:num w:numId="10">
    <w:abstractNumId w:val="5"/>
  </w:num>
  <w:num w:numId="11">
    <w:abstractNumId w:val="12"/>
  </w:num>
  <w:num w:numId="12">
    <w:abstractNumId w:val="10"/>
  </w:num>
  <w:num w:numId="13">
    <w:abstractNumId w:val="13"/>
  </w:num>
  <w:num w:numId="14">
    <w:abstractNumId w:val="1"/>
  </w:num>
  <w:num w:numId="15">
    <w:abstractNumId w:val="2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>
      <o:colormru v:ext="edit" colors="#02418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C7"/>
    <w:rsid w:val="00000CB3"/>
    <w:rsid w:val="000057FD"/>
    <w:rsid w:val="00006B58"/>
    <w:rsid w:val="00015089"/>
    <w:rsid w:val="00015A62"/>
    <w:rsid w:val="00015CBF"/>
    <w:rsid w:val="00017189"/>
    <w:rsid w:val="00023C2C"/>
    <w:rsid w:val="000246CC"/>
    <w:rsid w:val="00024DBF"/>
    <w:rsid w:val="0003136C"/>
    <w:rsid w:val="0003145F"/>
    <w:rsid w:val="000322BC"/>
    <w:rsid w:val="00032D50"/>
    <w:rsid w:val="00034B40"/>
    <w:rsid w:val="0004104A"/>
    <w:rsid w:val="0004545D"/>
    <w:rsid w:val="00050D05"/>
    <w:rsid w:val="00051EA5"/>
    <w:rsid w:val="00054A60"/>
    <w:rsid w:val="00055961"/>
    <w:rsid w:val="0006000E"/>
    <w:rsid w:val="00060FD5"/>
    <w:rsid w:val="00064A4F"/>
    <w:rsid w:val="0007000C"/>
    <w:rsid w:val="000714E2"/>
    <w:rsid w:val="00072786"/>
    <w:rsid w:val="00073A58"/>
    <w:rsid w:val="0007763F"/>
    <w:rsid w:val="0008075C"/>
    <w:rsid w:val="00080E87"/>
    <w:rsid w:val="000838FC"/>
    <w:rsid w:val="00085297"/>
    <w:rsid w:val="00086670"/>
    <w:rsid w:val="00086CE7"/>
    <w:rsid w:val="000932FA"/>
    <w:rsid w:val="00093F01"/>
    <w:rsid w:val="00094435"/>
    <w:rsid w:val="0009658A"/>
    <w:rsid w:val="000A12B5"/>
    <w:rsid w:val="000A15DF"/>
    <w:rsid w:val="000A758B"/>
    <w:rsid w:val="000B2BE7"/>
    <w:rsid w:val="000B2F35"/>
    <w:rsid w:val="000B7608"/>
    <w:rsid w:val="000B7D89"/>
    <w:rsid w:val="000C0876"/>
    <w:rsid w:val="000C0A11"/>
    <w:rsid w:val="000C0A30"/>
    <w:rsid w:val="000C174B"/>
    <w:rsid w:val="000C295E"/>
    <w:rsid w:val="000C4706"/>
    <w:rsid w:val="000D0997"/>
    <w:rsid w:val="000D1064"/>
    <w:rsid w:val="000D301C"/>
    <w:rsid w:val="000D3523"/>
    <w:rsid w:val="000D7AE2"/>
    <w:rsid w:val="000E3C2F"/>
    <w:rsid w:val="000E4B00"/>
    <w:rsid w:val="000E5DA5"/>
    <w:rsid w:val="000F1654"/>
    <w:rsid w:val="000F29CA"/>
    <w:rsid w:val="000F3E4D"/>
    <w:rsid w:val="000F416B"/>
    <w:rsid w:val="000F548A"/>
    <w:rsid w:val="001013CC"/>
    <w:rsid w:val="0010294B"/>
    <w:rsid w:val="00102D87"/>
    <w:rsid w:val="00103FB9"/>
    <w:rsid w:val="001049AA"/>
    <w:rsid w:val="001065A9"/>
    <w:rsid w:val="0011097F"/>
    <w:rsid w:val="00115A2F"/>
    <w:rsid w:val="00115F2E"/>
    <w:rsid w:val="00117537"/>
    <w:rsid w:val="00120AA8"/>
    <w:rsid w:val="00120B9F"/>
    <w:rsid w:val="00121580"/>
    <w:rsid w:val="001220A2"/>
    <w:rsid w:val="00122C0D"/>
    <w:rsid w:val="00124259"/>
    <w:rsid w:val="00124418"/>
    <w:rsid w:val="00125B91"/>
    <w:rsid w:val="0013500D"/>
    <w:rsid w:val="00135061"/>
    <w:rsid w:val="00136D40"/>
    <w:rsid w:val="00136FE1"/>
    <w:rsid w:val="00140EB5"/>
    <w:rsid w:val="001410D6"/>
    <w:rsid w:val="001412F2"/>
    <w:rsid w:val="001418EC"/>
    <w:rsid w:val="0014467F"/>
    <w:rsid w:val="00145C97"/>
    <w:rsid w:val="001468AC"/>
    <w:rsid w:val="00147BBA"/>
    <w:rsid w:val="001550EC"/>
    <w:rsid w:val="00155184"/>
    <w:rsid w:val="0015718F"/>
    <w:rsid w:val="001608B7"/>
    <w:rsid w:val="00164EDC"/>
    <w:rsid w:val="0016573D"/>
    <w:rsid w:val="00165B16"/>
    <w:rsid w:val="00171FAE"/>
    <w:rsid w:val="00177033"/>
    <w:rsid w:val="00180FAB"/>
    <w:rsid w:val="00184F36"/>
    <w:rsid w:val="00186556"/>
    <w:rsid w:val="00192D15"/>
    <w:rsid w:val="00192D64"/>
    <w:rsid w:val="001933DB"/>
    <w:rsid w:val="0019455C"/>
    <w:rsid w:val="001953A7"/>
    <w:rsid w:val="001954C9"/>
    <w:rsid w:val="00195F79"/>
    <w:rsid w:val="001963A7"/>
    <w:rsid w:val="00196D72"/>
    <w:rsid w:val="00197E20"/>
    <w:rsid w:val="001A08BF"/>
    <w:rsid w:val="001A3337"/>
    <w:rsid w:val="001A592A"/>
    <w:rsid w:val="001B458E"/>
    <w:rsid w:val="001B5164"/>
    <w:rsid w:val="001B6130"/>
    <w:rsid w:val="001B704E"/>
    <w:rsid w:val="001B7BC1"/>
    <w:rsid w:val="001B7F9B"/>
    <w:rsid w:val="001C144A"/>
    <w:rsid w:val="001C1B61"/>
    <w:rsid w:val="001C2285"/>
    <w:rsid w:val="001C343B"/>
    <w:rsid w:val="001C3FC1"/>
    <w:rsid w:val="001C46F0"/>
    <w:rsid w:val="001D219B"/>
    <w:rsid w:val="001D4038"/>
    <w:rsid w:val="001E30A7"/>
    <w:rsid w:val="001E44E7"/>
    <w:rsid w:val="001E44EE"/>
    <w:rsid w:val="001E470D"/>
    <w:rsid w:val="001E49BB"/>
    <w:rsid w:val="001E53DF"/>
    <w:rsid w:val="001E6505"/>
    <w:rsid w:val="001F167F"/>
    <w:rsid w:val="001F2467"/>
    <w:rsid w:val="001F369A"/>
    <w:rsid w:val="001F58AF"/>
    <w:rsid w:val="001F5A39"/>
    <w:rsid w:val="00201929"/>
    <w:rsid w:val="00202D22"/>
    <w:rsid w:val="00204A77"/>
    <w:rsid w:val="00206F40"/>
    <w:rsid w:val="0021663B"/>
    <w:rsid w:val="0021683E"/>
    <w:rsid w:val="00217256"/>
    <w:rsid w:val="00220D6D"/>
    <w:rsid w:val="00223B87"/>
    <w:rsid w:val="00225DA2"/>
    <w:rsid w:val="00227EF4"/>
    <w:rsid w:val="002307B2"/>
    <w:rsid w:val="002312E5"/>
    <w:rsid w:val="00232E77"/>
    <w:rsid w:val="00233665"/>
    <w:rsid w:val="0023641D"/>
    <w:rsid w:val="00237396"/>
    <w:rsid w:val="00241CF3"/>
    <w:rsid w:val="00242D81"/>
    <w:rsid w:val="002438BF"/>
    <w:rsid w:val="00244A64"/>
    <w:rsid w:val="0024573A"/>
    <w:rsid w:val="00246565"/>
    <w:rsid w:val="0024738E"/>
    <w:rsid w:val="002476CA"/>
    <w:rsid w:val="00250E16"/>
    <w:rsid w:val="00263E66"/>
    <w:rsid w:val="00266246"/>
    <w:rsid w:val="00267CF5"/>
    <w:rsid w:val="00271431"/>
    <w:rsid w:val="00275490"/>
    <w:rsid w:val="0028006C"/>
    <w:rsid w:val="00286CCF"/>
    <w:rsid w:val="0029432E"/>
    <w:rsid w:val="00295884"/>
    <w:rsid w:val="002A198F"/>
    <w:rsid w:val="002A317F"/>
    <w:rsid w:val="002A4244"/>
    <w:rsid w:val="002A7759"/>
    <w:rsid w:val="002A7849"/>
    <w:rsid w:val="002A7C26"/>
    <w:rsid w:val="002B0473"/>
    <w:rsid w:val="002B2F14"/>
    <w:rsid w:val="002B3359"/>
    <w:rsid w:val="002B3EA8"/>
    <w:rsid w:val="002B4282"/>
    <w:rsid w:val="002B6E48"/>
    <w:rsid w:val="002C11BC"/>
    <w:rsid w:val="002C2163"/>
    <w:rsid w:val="002C2493"/>
    <w:rsid w:val="002C5F16"/>
    <w:rsid w:val="002C7575"/>
    <w:rsid w:val="002C7E41"/>
    <w:rsid w:val="002D2745"/>
    <w:rsid w:val="002D5088"/>
    <w:rsid w:val="002D754C"/>
    <w:rsid w:val="002D7F80"/>
    <w:rsid w:val="002E107B"/>
    <w:rsid w:val="002E32E7"/>
    <w:rsid w:val="002E393A"/>
    <w:rsid w:val="002E3D9B"/>
    <w:rsid w:val="002E5A2F"/>
    <w:rsid w:val="002E5C32"/>
    <w:rsid w:val="002E609F"/>
    <w:rsid w:val="002E6C03"/>
    <w:rsid w:val="002F27B2"/>
    <w:rsid w:val="002F2831"/>
    <w:rsid w:val="002F2EC2"/>
    <w:rsid w:val="002F67D7"/>
    <w:rsid w:val="00302BA7"/>
    <w:rsid w:val="00303CA9"/>
    <w:rsid w:val="003043EE"/>
    <w:rsid w:val="00304BA2"/>
    <w:rsid w:val="003072CA"/>
    <w:rsid w:val="00307314"/>
    <w:rsid w:val="00307D4B"/>
    <w:rsid w:val="00310964"/>
    <w:rsid w:val="003124AE"/>
    <w:rsid w:val="00312537"/>
    <w:rsid w:val="00312E09"/>
    <w:rsid w:val="00316257"/>
    <w:rsid w:val="0031736F"/>
    <w:rsid w:val="003211BA"/>
    <w:rsid w:val="0032262F"/>
    <w:rsid w:val="00323036"/>
    <w:rsid w:val="003250CA"/>
    <w:rsid w:val="00330E24"/>
    <w:rsid w:val="00335567"/>
    <w:rsid w:val="00336A00"/>
    <w:rsid w:val="00340983"/>
    <w:rsid w:val="0034511A"/>
    <w:rsid w:val="003456BD"/>
    <w:rsid w:val="003462FD"/>
    <w:rsid w:val="00347705"/>
    <w:rsid w:val="00350E4E"/>
    <w:rsid w:val="00354E67"/>
    <w:rsid w:val="00355B94"/>
    <w:rsid w:val="00360E80"/>
    <w:rsid w:val="00361739"/>
    <w:rsid w:val="00362025"/>
    <w:rsid w:val="0036466E"/>
    <w:rsid w:val="00364970"/>
    <w:rsid w:val="00364C4F"/>
    <w:rsid w:val="00370283"/>
    <w:rsid w:val="003738AA"/>
    <w:rsid w:val="003755D4"/>
    <w:rsid w:val="003761C7"/>
    <w:rsid w:val="00376FDB"/>
    <w:rsid w:val="00380E4B"/>
    <w:rsid w:val="003818ED"/>
    <w:rsid w:val="003843DE"/>
    <w:rsid w:val="003856F3"/>
    <w:rsid w:val="0039139E"/>
    <w:rsid w:val="00392E95"/>
    <w:rsid w:val="0039311C"/>
    <w:rsid w:val="003940C2"/>
    <w:rsid w:val="00396101"/>
    <w:rsid w:val="003A1C5E"/>
    <w:rsid w:val="003A45B0"/>
    <w:rsid w:val="003A6B22"/>
    <w:rsid w:val="003A75B4"/>
    <w:rsid w:val="003A7EC4"/>
    <w:rsid w:val="003B1B1D"/>
    <w:rsid w:val="003B4120"/>
    <w:rsid w:val="003B4E27"/>
    <w:rsid w:val="003B74F7"/>
    <w:rsid w:val="003C485F"/>
    <w:rsid w:val="003C4ACB"/>
    <w:rsid w:val="003C5804"/>
    <w:rsid w:val="003D051E"/>
    <w:rsid w:val="003D5086"/>
    <w:rsid w:val="003D77EC"/>
    <w:rsid w:val="003D7AE9"/>
    <w:rsid w:val="003D7D64"/>
    <w:rsid w:val="003D7F2D"/>
    <w:rsid w:val="003E39D1"/>
    <w:rsid w:val="003E417D"/>
    <w:rsid w:val="003E6B4C"/>
    <w:rsid w:val="003F0524"/>
    <w:rsid w:val="003F0CD5"/>
    <w:rsid w:val="003F1F56"/>
    <w:rsid w:val="003F4067"/>
    <w:rsid w:val="004054AE"/>
    <w:rsid w:val="00407BB1"/>
    <w:rsid w:val="00412AB8"/>
    <w:rsid w:val="00412B5F"/>
    <w:rsid w:val="004138CF"/>
    <w:rsid w:val="004161EC"/>
    <w:rsid w:val="00417334"/>
    <w:rsid w:val="0041737F"/>
    <w:rsid w:val="00421418"/>
    <w:rsid w:val="00421585"/>
    <w:rsid w:val="0042243C"/>
    <w:rsid w:val="0042319D"/>
    <w:rsid w:val="0043133C"/>
    <w:rsid w:val="0043145F"/>
    <w:rsid w:val="00436041"/>
    <w:rsid w:val="00436EF5"/>
    <w:rsid w:val="00437521"/>
    <w:rsid w:val="00441FAE"/>
    <w:rsid w:val="0044375C"/>
    <w:rsid w:val="00460F61"/>
    <w:rsid w:val="00466790"/>
    <w:rsid w:val="00467F65"/>
    <w:rsid w:val="00470BFE"/>
    <w:rsid w:val="00471CD1"/>
    <w:rsid w:val="00473B48"/>
    <w:rsid w:val="00475E6C"/>
    <w:rsid w:val="00480DF3"/>
    <w:rsid w:val="0048191C"/>
    <w:rsid w:val="0048294D"/>
    <w:rsid w:val="004842B7"/>
    <w:rsid w:val="00484A3F"/>
    <w:rsid w:val="004873AC"/>
    <w:rsid w:val="00492923"/>
    <w:rsid w:val="00496B60"/>
    <w:rsid w:val="004A09F0"/>
    <w:rsid w:val="004A4F4A"/>
    <w:rsid w:val="004A5A72"/>
    <w:rsid w:val="004A6DDC"/>
    <w:rsid w:val="004B1C8B"/>
    <w:rsid w:val="004B25A3"/>
    <w:rsid w:val="004C2332"/>
    <w:rsid w:val="004C4167"/>
    <w:rsid w:val="004C59B1"/>
    <w:rsid w:val="004C6004"/>
    <w:rsid w:val="004C6E85"/>
    <w:rsid w:val="004D116C"/>
    <w:rsid w:val="004D133E"/>
    <w:rsid w:val="004D2C48"/>
    <w:rsid w:val="004D5BC8"/>
    <w:rsid w:val="004E19FE"/>
    <w:rsid w:val="004E413C"/>
    <w:rsid w:val="004E7292"/>
    <w:rsid w:val="004E7A22"/>
    <w:rsid w:val="004F4C1A"/>
    <w:rsid w:val="00501D25"/>
    <w:rsid w:val="00502C63"/>
    <w:rsid w:val="00505C3F"/>
    <w:rsid w:val="00507DEB"/>
    <w:rsid w:val="00515169"/>
    <w:rsid w:val="00515478"/>
    <w:rsid w:val="00517DF5"/>
    <w:rsid w:val="00522B91"/>
    <w:rsid w:val="00526400"/>
    <w:rsid w:val="00526800"/>
    <w:rsid w:val="0053124D"/>
    <w:rsid w:val="0053284B"/>
    <w:rsid w:val="00532A3D"/>
    <w:rsid w:val="00535170"/>
    <w:rsid w:val="0053611C"/>
    <w:rsid w:val="00536459"/>
    <w:rsid w:val="0054094C"/>
    <w:rsid w:val="00542880"/>
    <w:rsid w:val="005451A9"/>
    <w:rsid w:val="00546359"/>
    <w:rsid w:val="0055475E"/>
    <w:rsid w:val="005569C7"/>
    <w:rsid w:val="00561E27"/>
    <w:rsid w:val="005633E2"/>
    <w:rsid w:val="00565848"/>
    <w:rsid w:val="00572A77"/>
    <w:rsid w:val="00573850"/>
    <w:rsid w:val="005768FD"/>
    <w:rsid w:val="005869B8"/>
    <w:rsid w:val="005973C7"/>
    <w:rsid w:val="005A0596"/>
    <w:rsid w:val="005A2030"/>
    <w:rsid w:val="005A3F46"/>
    <w:rsid w:val="005A3FC7"/>
    <w:rsid w:val="005A6021"/>
    <w:rsid w:val="005A7BDA"/>
    <w:rsid w:val="005A7D4B"/>
    <w:rsid w:val="005B0448"/>
    <w:rsid w:val="005B0D7F"/>
    <w:rsid w:val="005B3135"/>
    <w:rsid w:val="005B391E"/>
    <w:rsid w:val="005B56E5"/>
    <w:rsid w:val="005B7122"/>
    <w:rsid w:val="005C4E9F"/>
    <w:rsid w:val="005C6F88"/>
    <w:rsid w:val="005D00F7"/>
    <w:rsid w:val="005D15DA"/>
    <w:rsid w:val="005D20A6"/>
    <w:rsid w:val="005D4273"/>
    <w:rsid w:val="005D5F68"/>
    <w:rsid w:val="005D633C"/>
    <w:rsid w:val="005D654D"/>
    <w:rsid w:val="005D7495"/>
    <w:rsid w:val="005E2C28"/>
    <w:rsid w:val="005E30C0"/>
    <w:rsid w:val="005E34F6"/>
    <w:rsid w:val="005E5F19"/>
    <w:rsid w:val="005E67B1"/>
    <w:rsid w:val="005F1347"/>
    <w:rsid w:val="005F1887"/>
    <w:rsid w:val="005F1CEB"/>
    <w:rsid w:val="005F357B"/>
    <w:rsid w:val="005F3BAF"/>
    <w:rsid w:val="006013FD"/>
    <w:rsid w:val="00602787"/>
    <w:rsid w:val="00606588"/>
    <w:rsid w:val="006079FC"/>
    <w:rsid w:val="00607E19"/>
    <w:rsid w:val="0061318D"/>
    <w:rsid w:val="00613579"/>
    <w:rsid w:val="00613A45"/>
    <w:rsid w:val="006140BB"/>
    <w:rsid w:val="00615A7F"/>
    <w:rsid w:val="0062475F"/>
    <w:rsid w:val="00624E31"/>
    <w:rsid w:val="006325C1"/>
    <w:rsid w:val="0063683E"/>
    <w:rsid w:val="00636CE0"/>
    <w:rsid w:val="006370B5"/>
    <w:rsid w:val="00637D7D"/>
    <w:rsid w:val="00642327"/>
    <w:rsid w:val="00642D56"/>
    <w:rsid w:val="0065292C"/>
    <w:rsid w:val="00652A82"/>
    <w:rsid w:val="006614EA"/>
    <w:rsid w:val="00661B01"/>
    <w:rsid w:val="00661E77"/>
    <w:rsid w:val="0066434A"/>
    <w:rsid w:val="00667974"/>
    <w:rsid w:val="00671E81"/>
    <w:rsid w:val="006768EA"/>
    <w:rsid w:val="006777D2"/>
    <w:rsid w:val="006804E8"/>
    <w:rsid w:val="006807D4"/>
    <w:rsid w:val="00681042"/>
    <w:rsid w:val="006812B3"/>
    <w:rsid w:val="0068193A"/>
    <w:rsid w:val="006829C0"/>
    <w:rsid w:val="00684BD6"/>
    <w:rsid w:val="00692A3D"/>
    <w:rsid w:val="00693210"/>
    <w:rsid w:val="00693ADD"/>
    <w:rsid w:val="00695C90"/>
    <w:rsid w:val="006A082D"/>
    <w:rsid w:val="006A116C"/>
    <w:rsid w:val="006A21B9"/>
    <w:rsid w:val="006B1FED"/>
    <w:rsid w:val="006B3CB2"/>
    <w:rsid w:val="006B78D0"/>
    <w:rsid w:val="006B78DA"/>
    <w:rsid w:val="006C3F0B"/>
    <w:rsid w:val="006C449C"/>
    <w:rsid w:val="006C7F33"/>
    <w:rsid w:val="006C7FF8"/>
    <w:rsid w:val="006D3B1D"/>
    <w:rsid w:val="006D461E"/>
    <w:rsid w:val="006D4A70"/>
    <w:rsid w:val="006D77A3"/>
    <w:rsid w:val="006E189A"/>
    <w:rsid w:val="006E2250"/>
    <w:rsid w:val="006E53C0"/>
    <w:rsid w:val="006E61C3"/>
    <w:rsid w:val="006E7D10"/>
    <w:rsid w:val="006F1E88"/>
    <w:rsid w:val="006F32B7"/>
    <w:rsid w:val="006F368B"/>
    <w:rsid w:val="006F5D0F"/>
    <w:rsid w:val="00700230"/>
    <w:rsid w:val="00702429"/>
    <w:rsid w:val="007124D3"/>
    <w:rsid w:val="0072124E"/>
    <w:rsid w:val="00722A43"/>
    <w:rsid w:val="00726259"/>
    <w:rsid w:val="00726785"/>
    <w:rsid w:val="00727C79"/>
    <w:rsid w:val="00731423"/>
    <w:rsid w:val="00731DB9"/>
    <w:rsid w:val="00731E82"/>
    <w:rsid w:val="00732966"/>
    <w:rsid w:val="0074056C"/>
    <w:rsid w:val="00742A15"/>
    <w:rsid w:val="007447D5"/>
    <w:rsid w:val="007448D5"/>
    <w:rsid w:val="0074681E"/>
    <w:rsid w:val="00746C31"/>
    <w:rsid w:val="0075388E"/>
    <w:rsid w:val="0075691E"/>
    <w:rsid w:val="007606BE"/>
    <w:rsid w:val="0076137A"/>
    <w:rsid w:val="007616A7"/>
    <w:rsid w:val="00765629"/>
    <w:rsid w:val="007673DC"/>
    <w:rsid w:val="007733CD"/>
    <w:rsid w:val="007736D6"/>
    <w:rsid w:val="007759F7"/>
    <w:rsid w:val="007764A3"/>
    <w:rsid w:val="007815B7"/>
    <w:rsid w:val="00785898"/>
    <w:rsid w:val="007867AD"/>
    <w:rsid w:val="00790B68"/>
    <w:rsid w:val="007912B1"/>
    <w:rsid w:val="00792063"/>
    <w:rsid w:val="00792F11"/>
    <w:rsid w:val="00793180"/>
    <w:rsid w:val="007938FD"/>
    <w:rsid w:val="00794585"/>
    <w:rsid w:val="00794EF8"/>
    <w:rsid w:val="00797534"/>
    <w:rsid w:val="007A0801"/>
    <w:rsid w:val="007A08B5"/>
    <w:rsid w:val="007A08F4"/>
    <w:rsid w:val="007A3C1F"/>
    <w:rsid w:val="007A51E9"/>
    <w:rsid w:val="007A7E39"/>
    <w:rsid w:val="007B1AA0"/>
    <w:rsid w:val="007B24A0"/>
    <w:rsid w:val="007B2B7D"/>
    <w:rsid w:val="007B39AF"/>
    <w:rsid w:val="007B6E12"/>
    <w:rsid w:val="007B7545"/>
    <w:rsid w:val="007C0919"/>
    <w:rsid w:val="007C4A99"/>
    <w:rsid w:val="007C504C"/>
    <w:rsid w:val="007D069D"/>
    <w:rsid w:val="007D0C2E"/>
    <w:rsid w:val="007D24E5"/>
    <w:rsid w:val="007D6C79"/>
    <w:rsid w:val="007D7B00"/>
    <w:rsid w:val="007E000F"/>
    <w:rsid w:val="007E4610"/>
    <w:rsid w:val="007F4DA6"/>
    <w:rsid w:val="0080112A"/>
    <w:rsid w:val="00802629"/>
    <w:rsid w:val="00805473"/>
    <w:rsid w:val="00807EFB"/>
    <w:rsid w:val="008106D0"/>
    <w:rsid w:val="00811D50"/>
    <w:rsid w:val="0081410B"/>
    <w:rsid w:val="0081419C"/>
    <w:rsid w:val="00814853"/>
    <w:rsid w:val="00814EA6"/>
    <w:rsid w:val="00816926"/>
    <w:rsid w:val="00821131"/>
    <w:rsid w:val="008275DC"/>
    <w:rsid w:val="00833082"/>
    <w:rsid w:val="00837C56"/>
    <w:rsid w:val="00841CD5"/>
    <w:rsid w:val="0084382B"/>
    <w:rsid w:val="00845AD6"/>
    <w:rsid w:val="008504E3"/>
    <w:rsid w:val="00852332"/>
    <w:rsid w:val="00853ED4"/>
    <w:rsid w:val="008545E4"/>
    <w:rsid w:val="0086028F"/>
    <w:rsid w:val="008639AE"/>
    <w:rsid w:val="00871283"/>
    <w:rsid w:val="008762A4"/>
    <w:rsid w:val="0088657A"/>
    <w:rsid w:val="00891FF4"/>
    <w:rsid w:val="00893B85"/>
    <w:rsid w:val="0089452C"/>
    <w:rsid w:val="00894C21"/>
    <w:rsid w:val="00895989"/>
    <w:rsid w:val="008968BE"/>
    <w:rsid w:val="008A0C2E"/>
    <w:rsid w:val="008A3869"/>
    <w:rsid w:val="008A49AC"/>
    <w:rsid w:val="008A6DD0"/>
    <w:rsid w:val="008B40DC"/>
    <w:rsid w:val="008B548A"/>
    <w:rsid w:val="008B62B9"/>
    <w:rsid w:val="008C159C"/>
    <w:rsid w:val="008C50C7"/>
    <w:rsid w:val="008C6E7A"/>
    <w:rsid w:val="008D312D"/>
    <w:rsid w:val="008D34AD"/>
    <w:rsid w:val="008D46D9"/>
    <w:rsid w:val="008E0AFB"/>
    <w:rsid w:val="008E15F9"/>
    <w:rsid w:val="008E3D49"/>
    <w:rsid w:val="008E4BBA"/>
    <w:rsid w:val="008F1033"/>
    <w:rsid w:val="008F1418"/>
    <w:rsid w:val="008F2264"/>
    <w:rsid w:val="008F4642"/>
    <w:rsid w:val="008F4EE7"/>
    <w:rsid w:val="008F699A"/>
    <w:rsid w:val="00903614"/>
    <w:rsid w:val="009069C9"/>
    <w:rsid w:val="00907F50"/>
    <w:rsid w:val="0091001E"/>
    <w:rsid w:val="00910F41"/>
    <w:rsid w:val="0091327E"/>
    <w:rsid w:val="00913FBC"/>
    <w:rsid w:val="00914CC5"/>
    <w:rsid w:val="00916504"/>
    <w:rsid w:val="0092212F"/>
    <w:rsid w:val="00923596"/>
    <w:rsid w:val="0092686C"/>
    <w:rsid w:val="009300B1"/>
    <w:rsid w:val="00931300"/>
    <w:rsid w:val="0093370B"/>
    <w:rsid w:val="00933F20"/>
    <w:rsid w:val="00935CFC"/>
    <w:rsid w:val="00940857"/>
    <w:rsid w:val="00941AF0"/>
    <w:rsid w:val="009448C6"/>
    <w:rsid w:val="00944F11"/>
    <w:rsid w:val="0094510E"/>
    <w:rsid w:val="009568E1"/>
    <w:rsid w:val="00956C19"/>
    <w:rsid w:val="0095723F"/>
    <w:rsid w:val="00961300"/>
    <w:rsid w:val="00961B65"/>
    <w:rsid w:val="00961B70"/>
    <w:rsid w:val="009626DE"/>
    <w:rsid w:val="00963890"/>
    <w:rsid w:val="009638CD"/>
    <w:rsid w:val="00964B0D"/>
    <w:rsid w:val="00965F6A"/>
    <w:rsid w:val="00965FEE"/>
    <w:rsid w:val="00966007"/>
    <w:rsid w:val="00972658"/>
    <w:rsid w:val="00972945"/>
    <w:rsid w:val="00972D68"/>
    <w:rsid w:val="009767D9"/>
    <w:rsid w:val="00982CDE"/>
    <w:rsid w:val="009852BB"/>
    <w:rsid w:val="00986F67"/>
    <w:rsid w:val="009917FA"/>
    <w:rsid w:val="00992652"/>
    <w:rsid w:val="0099311F"/>
    <w:rsid w:val="00995A96"/>
    <w:rsid w:val="0099643B"/>
    <w:rsid w:val="009A57FC"/>
    <w:rsid w:val="009A7313"/>
    <w:rsid w:val="009B12B8"/>
    <w:rsid w:val="009B17DC"/>
    <w:rsid w:val="009B3BA6"/>
    <w:rsid w:val="009B433A"/>
    <w:rsid w:val="009B751B"/>
    <w:rsid w:val="009C3D50"/>
    <w:rsid w:val="009C6031"/>
    <w:rsid w:val="009D0ABC"/>
    <w:rsid w:val="009D5352"/>
    <w:rsid w:val="009E0B7A"/>
    <w:rsid w:val="009E658B"/>
    <w:rsid w:val="009E6D25"/>
    <w:rsid w:val="009F2E1F"/>
    <w:rsid w:val="009F3FBB"/>
    <w:rsid w:val="009F6C20"/>
    <w:rsid w:val="009F7BC7"/>
    <w:rsid w:val="00A03CA8"/>
    <w:rsid w:val="00A04D4D"/>
    <w:rsid w:val="00A04E3A"/>
    <w:rsid w:val="00A13AAF"/>
    <w:rsid w:val="00A13B22"/>
    <w:rsid w:val="00A23C42"/>
    <w:rsid w:val="00A24401"/>
    <w:rsid w:val="00A2695C"/>
    <w:rsid w:val="00A3185F"/>
    <w:rsid w:val="00A31AE4"/>
    <w:rsid w:val="00A34512"/>
    <w:rsid w:val="00A357C6"/>
    <w:rsid w:val="00A4042C"/>
    <w:rsid w:val="00A407C3"/>
    <w:rsid w:val="00A41300"/>
    <w:rsid w:val="00A44FA2"/>
    <w:rsid w:val="00A458D5"/>
    <w:rsid w:val="00A461D4"/>
    <w:rsid w:val="00A53772"/>
    <w:rsid w:val="00A55FD3"/>
    <w:rsid w:val="00A57D14"/>
    <w:rsid w:val="00A60256"/>
    <w:rsid w:val="00A615C9"/>
    <w:rsid w:val="00A65998"/>
    <w:rsid w:val="00A716DD"/>
    <w:rsid w:val="00A72D21"/>
    <w:rsid w:val="00A73640"/>
    <w:rsid w:val="00A73DC9"/>
    <w:rsid w:val="00A8424D"/>
    <w:rsid w:val="00A85E73"/>
    <w:rsid w:val="00A9181A"/>
    <w:rsid w:val="00A93CBD"/>
    <w:rsid w:val="00AA02BB"/>
    <w:rsid w:val="00AA2F06"/>
    <w:rsid w:val="00AA61AC"/>
    <w:rsid w:val="00AB5434"/>
    <w:rsid w:val="00AB633E"/>
    <w:rsid w:val="00AB7279"/>
    <w:rsid w:val="00AC1055"/>
    <w:rsid w:val="00AC2512"/>
    <w:rsid w:val="00AC5AF2"/>
    <w:rsid w:val="00AC5FAF"/>
    <w:rsid w:val="00AC7740"/>
    <w:rsid w:val="00AD1525"/>
    <w:rsid w:val="00AD2C3F"/>
    <w:rsid w:val="00AD2EA9"/>
    <w:rsid w:val="00AD3E6A"/>
    <w:rsid w:val="00AD421E"/>
    <w:rsid w:val="00AD66E3"/>
    <w:rsid w:val="00AD7DFA"/>
    <w:rsid w:val="00AE2703"/>
    <w:rsid w:val="00AE61BB"/>
    <w:rsid w:val="00AF02D7"/>
    <w:rsid w:val="00AF6C67"/>
    <w:rsid w:val="00B01212"/>
    <w:rsid w:val="00B02464"/>
    <w:rsid w:val="00B02605"/>
    <w:rsid w:val="00B0387C"/>
    <w:rsid w:val="00B048FA"/>
    <w:rsid w:val="00B14C1E"/>
    <w:rsid w:val="00B15330"/>
    <w:rsid w:val="00B23348"/>
    <w:rsid w:val="00B279FE"/>
    <w:rsid w:val="00B301DB"/>
    <w:rsid w:val="00B31394"/>
    <w:rsid w:val="00B376A7"/>
    <w:rsid w:val="00B40B0F"/>
    <w:rsid w:val="00B41724"/>
    <w:rsid w:val="00B42785"/>
    <w:rsid w:val="00B42A6A"/>
    <w:rsid w:val="00B44721"/>
    <w:rsid w:val="00B452E9"/>
    <w:rsid w:val="00B527D1"/>
    <w:rsid w:val="00B5336D"/>
    <w:rsid w:val="00B56FFA"/>
    <w:rsid w:val="00B671D7"/>
    <w:rsid w:val="00B71759"/>
    <w:rsid w:val="00B72942"/>
    <w:rsid w:val="00B75FBA"/>
    <w:rsid w:val="00B77742"/>
    <w:rsid w:val="00B8123B"/>
    <w:rsid w:val="00B82B1C"/>
    <w:rsid w:val="00B862B2"/>
    <w:rsid w:val="00B86E52"/>
    <w:rsid w:val="00B917E8"/>
    <w:rsid w:val="00B95B47"/>
    <w:rsid w:val="00B972B7"/>
    <w:rsid w:val="00B97CFE"/>
    <w:rsid w:val="00BA32F3"/>
    <w:rsid w:val="00BB059D"/>
    <w:rsid w:val="00BB3C45"/>
    <w:rsid w:val="00BC0AC9"/>
    <w:rsid w:val="00BC1C56"/>
    <w:rsid w:val="00BC3566"/>
    <w:rsid w:val="00BC4B8C"/>
    <w:rsid w:val="00BC5E6D"/>
    <w:rsid w:val="00BD0184"/>
    <w:rsid w:val="00BD2B5A"/>
    <w:rsid w:val="00BD3224"/>
    <w:rsid w:val="00BD3292"/>
    <w:rsid w:val="00BD7ED6"/>
    <w:rsid w:val="00BE10C2"/>
    <w:rsid w:val="00BE1106"/>
    <w:rsid w:val="00BE45EA"/>
    <w:rsid w:val="00BE745A"/>
    <w:rsid w:val="00BF31AB"/>
    <w:rsid w:val="00BF31D9"/>
    <w:rsid w:val="00BF6F02"/>
    <w:rsid w:val="00BF78CD"/>
    <w:rsid w:val="00C04E14"/>
    <w:rsid w:val="00C0572F"/>
    <w:rsid w:val="00C064B3"/>
    <w:rsid w:val="00C06B39"/>
    <w:rsid w:val="00C07D26"/>
    <w:rsid w:val="00C14A4E"/>
    <w:rsid w:val="00C14AD9"/>
    <w:rsid w:val="00C15BEF"/>
    <w:rsid w:val="00C16B18"/>
    <w:rsid w:val="00C20EB2"/>
    <w:rsid w:val="00C243E0"/>
    <w:rsid w:val="00C27C62"/>
    <w:rsid w:val="00C3040B"/>
    <w:rsid w:val="00C31F68"/>
    <w:rsid w:val="00C32ED3"/>
    <w:rsid w:val="00C362BD"/>
    <w:rsid w:val="00C36E65"/>
    <w:rsid w:val="00C4168A"/>
    <w:rsid w:val="00C42025"/>
    <w:rsid w:val="00C42591"/>
    <w:rsid w:val="00C44442"/>
    <w:rsid w:val="00C511C1"/>
    <w:rsid w:val="00C516D6"/>
    <w:rsid w:val="00C52FE9"/>
    <w:rsid w:val="00C53BB8"/>
    <w:rsid w:val="00C548F8"/>
    <w:rsid w:val="00C56F5F"/>
    <w:rsid w:val="00C6076F"/>
    <w:rsid w:val="00C623B1"/>
    <w:rsid w:val="00C659BE"/>
    <w:rsid w:val="00C66696"/>
    <w:rsid w:val="00C71216"/>
    <w:rsid w:val="00C75A0F"/>
    <w:rsid w:val="00C75C45"/>
    <w:rsid w:val="00C80A5A"/>
    <w:rsid w:val="00C80B38"/>
    <w:rsid w:val="00C824F3"/>
    <w:rsid w:val="00C85DB1"/>
    <w:rsid w:val="00C92247"/>
    <w:rsid w:val="00C92491"/>
    <w:rsid w:val="00C95616"/>
    <w:rsid w:val="00CA47AB"/>
    <w:rsid w:val="00CA7187"/>
    <w:rsid w:val="00CB1C16"/>
    <w:rsid w:val="00CB323B"/>
    <w:rsid w:val="00CB4BB1"/>
    <w:rsid w:val="00CB5D76"/>
    <w:rsid w:val="00CB65AD"/>
    <w:rsid w:val="00CC28DD"/>
    <w:rsid w:val="00CC2923"/>
    <w:rsid w:val="00CC53DD"/>
    <w:rsid w:val="00CC5C89"/>
    <w:rsid w:val="00CD27AC"/>
    <w:rsid w:val="00CD31AD"/>
    <w:rsid w:val="00CD3E4A"/>
    <w:rsid w:val="00CE0DF7"/>
    <w:rsid w:val="00CE11FF"/>
    <w:rsid w:val="00CE1826"/>
    <w:rsid w:val="00CE620B"/>
    <w:rsid w:val="00CF23A5"/>
    <w:rsid w:val="00CF57A4"/>
    <w:rsid w:val="00D0222C"/>
    <w:rsid w:val="00D11282"/>
    <w:rsid w:val="00D12759"/>
    <w:rsid w:val="00D16619"/>
    <w:rsid w:val="00D256A6"/>
    <w:rsid w:val="00D2601C"/>
    <w:rsid w:val="00D30F6E"/>
    <w:rsid w:val="00D36EDA"/>
    <w:rsid w:val="00D4762E"/>
    <w:rsid w:val="00D47F74"/>
    <w:rsid w:val="00D52E90"/>
    <w:rsid w:val="00D53D89"/>
    <w:rsid w:val="00D56DE3"/>
    <w:rsid w:val="00D61383"/>
    <w:rsid w:val="00D669DF"/>
    <w:rsid w:val="00D703E2"/>
    <w:rsid w:val="00D70786"/>
    <w:rsid w:val="00D83F0A"/>
    <w:rsid w:val="00D872F8"/>
    <w:rsid w:val="00D90FD8"/>
    <w:rsid w:val="00D91324"/>
    <w:rsid w:val="00D925CA"/>
    <w:rsid w:val="00D941FD"/>
    <w:rsid w:val="00D95CB0"/>
    <w:rsid w:val="00D97A5C"/>
    <w:rsid w:val="00DA31EA"/>
    <w:rsid w:val="00DA4028"/>
    <w:rsid w:val="00DA5604"/>
    <w:rsid w:val="00DB455B"/>
    <w:rsid w:val="00DB5965"/>
    <w:rsid w:val="00DB5CBF"/>
    <w:rsid w:val="00DB7448"/>
    <w:rsid w:val="00DC2C85"/>
    <w:rsid w:val="00DC4BA7"/>
    <w:rsid w:val="00DC50E5"/>
    <w:rsid w:val="00DD0EB5"/>
    <w:rsid w:val="00DD0F42"/>
    <w:rsid w:val="00DD243E"/>
    <w:rsid w:val="00DD6846"/>
    <w:rsid w:val="00DE4BF6"/>
    <w:rsid w:val="00DE4EEB"/>
    <w:rsid w:val="00DE6EA9"/>
    <w:rsid w:val="00DF1FDA"/>
    <w:rsid w:val="00DF565B"/>
    <w:rsid w:val="00E05E39"/>
    <w:rsid w:val="00E06E79"/>
    <w:rsid w:val="00E071AA"/>
    <w:rsid w:val="00E076BF"/>
    <w:rsid w:val="00E10275"/>
    <w:rsid w:val="00E12428"/>
    <w:rsid w:val="00E131D8"/>
    <w:rsid w:val="00E144CB"/>
    <w:rsid w:val="00E176A4"/>
    <w:rsid w:val="00E2024D"/>
    <w:rsid w:val="00E20330"/>
    <w:rsid w:val="00E21825"/>
    <w:rsid w:val="00E24CF0"/>
    <w:rsid w:val="00E24EAC"/>
    <w:rsid w:val="00E254C8"/>
    <w:rsid w:val="00E25FCB"/>
    <w:rsid w:val="00E2664D"/>
    <w:rsid w:val="00E278F9"/>
    <w:rsid w:val="00E27BC3"/>
    <w:rsid w:val="00E311E0"/>
    <w:rsid w:val="00E35E24"/>
    <w:rsid w:val="00E41799"/>
    <w:rsid w:val="00E43611"/>
    <w:rsid w:val="00E51307"/>
    <w:rsid w:val="00E5191B"/>
    <w:rsid w:val="00E5234B"/>
    <w:rsid w:val="00E52433"/>
    <w:rsid w:val="00E524F8"/>
    <w:rsid w:val="00E53520"/>
    <w:rsid w:val="00E537A4"/>
    <w:rsid w:val="00E54359"/>
    <w:rsid w:val="00E57DCB"/>
    <w:rsid w:val="00E66AFA"/>
    <w:rsid w:val="00E74FF8"/>
    <w:rsid w:val="00E762E9"/>
    <w:rsid w:val="00E8066C"/>
    <w:rsid w:val="00E82006"/>
    <w:rsid w:val="00E82599"/>
    <w:rsid w:val="00E8259B"/>
    <w:rsid w:val="00E83715"/>
    <w:rsid w:val="00E858A7"/>
    <w:rsid w:val="00E919CB"/>
    <w:rsid w:val="00E93D92"/>
    <w:rsid w:val="00E9407B"/>
    <w:rsid w:val="00E965C0"/>
    <w:rsid w:val="00E96CA3"/>
    <w:rsid w:val="00E97FD9"/>
    <w:rsid w:val="00EA13F2"/>
    <w:rsid w:val="00EA458F"/>
    <w:rsid w:val="00EA647A"/>
    <w:rsid w:val="00EA6B87"/>
    <w:rsid w:val="00EA6DE2"/>
    <w:rsid w:val="00EB3236"/>
    <w:rsid w:val="00EB567B"/>
    <w:rsid w:val="00EB58EE"/>
    <w:rsid w:val="00EB7BD9"/>
    <w:rsid w:val="00EB7C4B"/>
    <w:rsid w:val="00EC227D"/>
    <w:rsid w:val="00EC35E8"/>
    <w:rsid w:val="00EC3DDC"/>
    <w:rsid w:val="00EC5501"/>
    <w:rsid w:val="00EC5BA0"/>
    <w:rsid w:val="00EC76A2"/>
    <w:rsid w:val="00EC7B08"/>
    <w:rsid w:val="00ED08F7"/>
    <w:rsid w:val="00ED1BF8"/>
    <w:rsid w:val="00ED5791"/>
    <w:rsid w:val="00EE27DD"/>
    <w:rsid w:val="00EE3745"/>
    <w:rsid w:val="00EE4975"/>
    <w:rsid w:val="00EE6009"/>
    <w:rsid w:val="00EF0155"/>
    <w:rsid w:val="00EF1596"/>
    <w:rsid w:val="00EF41D0"/>
    <w:rsid w:val="00EF45B8"/>
    <w:rsid w:val="00EF4B1B"/>
    <w:rsid w:val="00EF4EF0"/>
    <w:rsid w:val="00EF602D"/>
    <w:rsid w:val="00EF6DBD"/>
    <w:rsid w:val="00F02790"/>
    <w:rsid w:val="00F02BC9"/>
    <w:rsid w:val="00F07B27"/>
    <w:rsid w:val="00F07E14"/>
    <w:rsid w:val="00F11506"/>
    <w:rsid w:val="00F1462E"/>
    <w:rsid w:val="00F1525B"/>
    <w:rsid w:val="00F157A5"/>
    <w:rsid w:val="00F17ACC"/>
    <w:rsid w:val="00F22950"/>
    <w:rsid w:val="00F251F4"/>
    <w:rsid w:val="00F3054D"/>
    <w:rsid w:val="00F336CD"/>
    <w:rsid w:val="00F35021"/>
    <w:rsid w:val="00F35200"/>
    <w:rsid w:val="00F36C0C"/>
    <w:rsid w:val="00F37042"/>
    <w:rsid w:val="00F424ED"/>
    <w:rsid w:val="00F430B4"/>
    <w:rsid w:val="00F450B4"/>
    <w:rsid w:val="00F5089C"/>
    <w:rsid w:val="00F53C9C"/>
    <w:rsid w:val="00F552B3"/>
    <w:rsid w:val="00F57AE3"/>
    <w:rsid w:val="00F62B99"/>
    <w:rsid w:val="00F64CB1"/>
    <w:rsid w:val="00F71EC7"/>
    <w:rsid w:val="00F7285C"/>
    <w:rsid w:val="00F73C9A"/>
    <w:rsid w:val="00F75123"/>
    <w:rsid w:val="00F764B8"/>
    <w:rsid w:val="00F7683A"/>
    <w:rsid w:val="00F7708E"/>
    <w:rsid w:val="00F82F57"/>
    <w:rsid w:val="00F85265"/>
    <w:rsid w:val="00F856EB"/>
    <w:rsid w:val="00F86C17"/>
    <w:rsid w:val="00F97669"/>
    <w:rsid w:val="00F97B4E"/>
    <w:rsid w:val="00FA01B6"/>
    <w:rsid w:val="00FA2B42"/>
    <w:rsid w:val="00FA3130"/>
    <w:rsid w:val="00FA3260"/>
    <w:rsid w:val="00FA67E0"/>
    <w:rsid w:val="00FB12CA"/>
    <w:rsid w:val="00FB2863"/>
    <w:rsid w:val="00FB4DBB"/>
    <w:rsid w:val="00FB54D1"/>
    <w:rsid w:val="00FC0886"/>
    <w:rsid w:val="00FC1412"/>
    <w:rsid w:val="00FC27EE"/>
    <w:rsid w:val="00FC2C88"/>
    <w:rsid w:val="00FC3C76"/>
    <w:rsid w:val="00FC6319"/>
    <w:rsid w:val="00FD1520"/>
    <w:rsid w:val="00FD1BD9"/>
    <w:rsid w:val="00FD36EB"/>
    <w:rsid w:val="00FD5A2B"/>
    <w:rsid w:val="00FD7E3B"/>
    <w:rsid w:val="00FE1864"/>
    <w:rsid w:val="00FE3546"/>
    <w:rsid w:val="00FF01D4"/>
    <w:rsid w:val="00FF2381"/>
    <w:rsid w:val="00FF339A"/>
    <w:rsid w:val="00FF35D0"/>
    <w:rsid w:val="00F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24182"/>
    </o:shapedefaults>
    <o:shapelayout v:ext="edit">
      <o:idmap v:ext="edit" data="1"/>
    </o:shapelayout>
  </w:shapeDefaults>
  <w:decimalSymbol w:val=","/>
  <w:listSeparator w:val=";"/>
  <w14:docId w14:val="0851DD54"/>
  <w15:docId w15:val="{DD07A0CE-AF41-471B-BECA-8FAF64FD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57FC"/>
    <w:pPr>
      <w:keepNext/>
      <w:spacing w:before="24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A57FC"/>
    <w:pPr>
      <w:keepNext/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9A57FC"/>
    <w:pPr>
      <w:keepNext/>
      <w:spacing w:before="60" w:after="60"/>
      <w:outlineLvl w:val="2"/>
    </w:pPr>
    <w:rPr>
      <w:rFonts w:cs="Arial"/>
      <w:bCs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064A4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  <w:lang w:val="en-US"/>
    </w:rPr>
  </w:style>
  <w:style w:type="character" w:styleId="PageNumber">
    <w:name w:val="page number"/>
    <w:basedOn w:val="DefaultParagraphFont"/>
    <w:rsid w:val="00FD7E3B"/>
  </w:style>
  <w:style w:type="paragraph" w:styleId="Footer">
    <w:name w:val="footer"/>
    <w:basedOn w:val="Normal"/>
    <w:link w:val="FooterChar"/>
    <w:uiPriority w:val="99"/>
    <w:rsid w:val="009A57FC"/>
    <w:pPr>
      <w:tabs>
        <w:tab w:val="center" w:pos="4320"/>
        <w:tab w:val="right" w:pos="8640"/>
      </w:tabs>
      <w:spacing w:line="360" w:lineRule="auto"/>
      <w:jc w:val="center"/>
    </w:pPr>
    <w:rPr>
      <w:rFonts w:ascii="Calibri" w:hAnsi="Calibri"/>
      <w:color w:val="024182"/>
      <w:sz w:val="16"/>
      <w:szCs w:val="20"/>
    </w:rPr>
  </w:style>
  <w:style w:type="paragraph" w:customStyle="1" w:styleId="Uloga">
    <w:name w:val="Uloga"/>
    <w:basedOn w:val="Normal"/>
    <w:rsid w:val="00A615C9"/>
    <w:pPr>
      <w:tabs>
        <w:tab w:val="center" w:pos="7655"/>
      </w:tabs>
      <w:spacing w:before="240" w:after="600"/>
    </w:pPr>
    <w:rPr>
      <w:b/>
      <w:i/>
      <w:caps/>
      <w:sz w:val="20"/>
    </w:rPr>
  </w:style>
  <w:style w:type="table" w:styleId="TableGrid">
    <w:name w:val="Table Grid"/>
    <w:basedOn w:val="TableNormal"/>
    <w:uiPriority w:val="39"/>
    <w:rsid w:val="00FD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01212"/>
    <w:pPr>
      <w:tabs>
        <w:tab w:val="center" w:pos="4536"/>
        <w:tab w:val="right" w:pos="9072"/>
      </w:tabs>
    </w:pPr>
    <w:rPr>
      <w:rFonts w:ascii="Calibri" w:hAnsi="Calibri"/>
      <w:color w:val="024182"/>
      <w:sz w:val="16"/>
    </w:rPr>
  </w:style>
  <w:style w:type="paragraph" w:customStyle="1" w:styleId="Uloga-ime">
    <w:name w:val="Uloga - ime"/>
    <w:basedOn w:val="Normal"/>
    <w:rsid w:val="00A615C9"/>
    <w:pPr>
      <w:tabs>
        <w:tab w:val="center" w:pos="7655"/>
      </w:tabs>
      <w:spacing w:after="600"/>
    </w:pPr>
    <w:rPr>
      <w:b/>
      <w:i/>
      <w:sz w:val="22"/>
    </w:rPr>
  </w:style>
  <w:style w:type="paragraph" w:styleId="BalloonText">
    <w:name w:val="Balloon Text"/>
    <w:basedOn w:val="Normal"/>
    <w:link w:val="BalloonTextChar"/>
    <w:rsid w:val="00AF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02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663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370B5"/>
    <w:rPr>
      <w:rFonts w:ascii="Calibri" w:hAnsi="Calibri"/>
      <w:color w:val="024182"/>
      <w:sz w:val="16"/>
    </w:rPr>
  </w:style>
  <w:style w:type="table" w:customStyle="1" w:styleId="TableGrid3">
    <w:name w:val="Table Grid3"/>
    <w:basedOn w:val="TableNormal"/>
    <w:next w:val="TableGrid"/>
    <w:uiPriority w:val="59"/>
    <w:rsid w:val="00E535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535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A61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F4B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D7A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731E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1E82"/>
  </w:style>
  <w:style w:type="character" w:styleId="FootnoteReference">
    <w:name w:val="footnote reference"/>
    <w:basedOn w:val="DefaultParagraphFont"/>
    <w:semiHidden/>
    <w:unhideWhenUsed/>
    <w:rsid w:val="00731E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64D133891958459AE81003228E31AE" ma:contentTypeVersion="3" ma:contentTypeDescription="Stvaranje novog dokumenta." ma:contentTypeScope="" ma:versionID="ed2ea0fc914c9fe856b16804f9017ec3">
  <xsd:schema xmlns:xsd="http://www.w3.org/2001/XMLSchema" xmlns:xs="http://www.w3.org/2001/XMLSchema" xmlns:p="http://schemas.microsoft.com/office/2006/metadata/properties" xmlns:ns2="f45d8b5b-b624-41fb-afb8-da03212d0f19" targetNamespace="http://schemas.microsoft.com/office/2006/metadata/properties" ma:root="true" ma:fieldsID="252a417815a7f7c55b63c71a016e8da7" ns2:_="">
    <xsd:import namespace="f45d8b5b-b624-41fb-afb8-da03212d0f1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d8b5b-b624-41fb-afb8-da03212d0f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6945B-9DB6-418A-824E-F9B948076F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21F885-87C8-419C-A7E2-6E6EF0AD4B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3F1B32-05A0-4A83-998A-EACFC2E2E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d8b5b-b624-41fb-afb8-da03212d0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693032-F056-4A2B-84F3-EC361FA6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13</Pages>
  <Words>4644</Words>
  <Characters>26471</Characters>
  <Application>Microsoft Office Word</Application>
  <DocSecurity>0</DocSecurity>
  <Lines>220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Predsjednik</vt:lpstr>
      <vt:lpstr>Memorandum - Executive director</vt:lpstr>
    </vt:vector>
  </TitlesOfParts>
  <Manager>Mirjana Todorić</Manager>
  <Company>HAKOM</Company>
  <LinksUpToDate>false</LinksUpToDate>
  <CharactersWithSpaces>31053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Predsjednik</dc:title>
  <dc:subject>Memorandum</dc:subject>
  <dc:creator>Cornelia Krušlin</dc:creator>
  <cp:keywords>English version</cp:keywords>
  <cp:lastModifiedBy>Sanja Hrvoj</cp:lastModifiedBy>
  <cp:revision>887</cp:revision>
  <cp:lastPrinted>2009-11-10T13:16:00Z</cp:lastPrinted>
  <dcterms:created xsi:type="dcterms:W3CDTF">2021-01-09T11:36:00Z</dcterms:created>
  <dcterms:modified xsi:type="dcterms:W3CDTF">2023-01-30T11:34:00Z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ija">
    <vt:lpwstr>3</vt:lpwstr>
  </property>
  <property fmtid="{D5CDD505-2E9C-101B-9397-08002B2CF9AE}" pid="3" name="revizija">
    <vt:lpwstr>0</vt:lpwstr>
  </property>
  <property fmtid="{D5CDD505-2E9C-101B-9397-08002B2CF9AE}" pid="4" name="Datum dovršetka">
    <vt:filetime>2012-08-31T22:00:00Z</vt:filetime>
  </property>
  <property fmtid="{D5CDD505-2E9C-101B-9397-08002B2CF9AE}" pid="5" name="Odjel">
    <vt:lpwstr>Zajednički poslovi</vt:lpwstr>
  </property>
  <property fmtid="{D5CDD505-2E9C-101B-9397-08002B2CF9AE}" pid="6" name="Office">
    <vt:lpwstr>HAKOM</vt:lpwstr>
  </property>
  <property fmtid="{D5CDD505-2E9C-101B-9397-08002B2CF9AE}" pid="7" name="Provjerio">
    <vt:lpwstr>Mirjana Todorić</vt:lpwstr>
  </property>
  <property fmtid="{D5CDD505-2E9C-101B-9397-08002B2CF9AE}" pid="8" name="Uređivač">
    <vt:lpwstr>Cornelia Krušlin</vt:lpwstr>
  </property>
  <property fmtid="{D5CDD505-2E9C-101B-9397-08002B2CF9AE}" pid="9" name="Vlasnik">
    <vt:lpwstr>HAKOM</vt:lpwstr>
  </property>
  <property fmtid="{D5CDD505-2E9C-101B-9397-08002B2CF9AE}" pid="10" name="Jezik">
    <vt:lpwstr>engleski</vt:lpwstr>
  </property>
  <property fmtid="{D5CDD505-2E9C-101B-9397-08002B2CF9AE}" pid="11" name="ContentTypeId">
    <vt:lpwstr>0x0101005F64D133891958459AE81003228E31AE</vt:lpwstr>
  </property>
  <property fmtid="{D5CDD505-2E9C-101B-9397-08002B2CF9AE}" pid="12" name="Order">
    <vt:r8>249100</vt:r8>
  </property>
  <property fmtid="{D5CDD505-2E9C-101B-9397-08002B2CF9AE}" pid="13" name="TemplateUrl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</Properties>
</file>