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7A0DC" w14:textId="77777777" w:rsidR="00763ADB" w:rsidRPr="004A6E08" w:rsidRDefault="00763ADB">
      <w:pPr>
        <w:rPr>
          <w:rFonts w:cstheme="minorHAnsi"/>
        </w:rPr>
      </w:pPr>
    </w:p>
    <w:p w14:paraId="75630BD5" w14:textId="77777777" w:rsidR="00763ADB" w:rsidRPr="004A6E08" w:rsidRDefault="00763ADB">
      <w:pPr>
        <w:rPr>
          <w:rFonts w:cstheme="minorHAnsi"/>
        </w:rPr>
      </w:pPr>
    </w:p>
    <w:p w14:paraId="73C9EA81" w14:textId="77777777" w:rsidR="00763ADB" w:rsidRPr="004A6E08" w:rsidRDefault="00763ADB">
      <w:pPr>
        <w:rPr>
          <w:rFonts w:cstheme="minorHAnsi"/>
        </w:rPr>
      </w:pPr>
    </w:p>
    <w:p w14:paraId="24364815" w14:textId="77777777" w:rsidR="00763ADB" w:rsidRPr="004A6E08" w:rsidRDefault="00763ADB">
      <w:pPr>
        <w:rPr>
          <w:rFonts w:cstheme="minorHAnsi"/>
        </w:rPr>
      </w:pPr>
    </w:p>
    <w:p w14:paraId="517812C9" w14:textId="77777777" w:rsidR="00763ADB" w:rsidRPr="004A6E08" w:rsidRDefault="00763ADB">
      <w:pPr>
        <w:rPr>
          <w:rFonts w:cstheme="minorHAnsi"/>
        </w:rPr>
      </w:pPr>
    </w:p>
    <w:p w14:paraId="06759BF7" w14:textId="77777777" w:rsidR="00763ADB" w:rsidRPr="004A6E08" w:rsidRDefault="00763ADB">
      <w:pPr>
        <w:rPr>
          <w:rFonts w:cstheme="minorHAnsi"/>
        </w:rPr>
      </w:pPr>
    </w:p>
    <w:p w14:paraId="68ECF844" w14:textId="77777777" w:rsidR="006565A5" w:rsidRPr="004A6E08" w:rsidRDefault="00763ADB">
      <w:pPr>
        <w:rPr>
          <w:rFonts w:cstheme="minorHAnsi"/>
        </w:rPr>
      </w:pPr>
      <w:r w:rsidRPr="004A6E08">
        <w:rPr>
          <w:rFonts w:cstheme="minorHAnsi"/>
          <w:noProof/>
          <w:lang w:eastAsia="hr-HR"/>
        </w:rPr>
        <w:drawing>
          <wp:anchor distT="0" distB="0" distL="114300" distR="114300" simplePos="0" relativeHeight="251659264" behindDoc="0" locked="0" layoutInCell="1" allowOverlap="1" wp14:anchorId="3436DA75" wp14:editId="37679BD6">
            <wp:simplePos x="0" y="0"/>
            <wp:positionH relativeFrom="margin">
              <wp:align>center</wp:align>
            </wp:positionH>
            <wp:positionV relativeFrom="paragraph">
              <wp:posOffset>9525</wp:posOffset>
            </wp:positionV>
            <wp:extent cx="2973947" cy="250507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3947" cy="2505075"/>
                    </a:xfrm>
                    <a:prstGeom prst="rect">
                      <a:avLst/>
                    </a:prstGeom>
                    <a:noFill/>
                  </pic:spPr>
                </pic:pic>
              </a:graphicData>
            </a:graphic>
          </wp:anchor>
        </w:drawing>
      </w:r>
    </w:p>
    <w:p w14:paraId="65FD48FA" w14:textId="77777777" w:rsidR="00763ADB" w:rsidRPr="004A6E08" w:rsidRDefault="00763ADB">
      <w:pPr>
        <w:rPr>
          <w:rFonts w:cstheme="minorHAnsi"/>
        </w:rPr>
      </w:pPr>
    </w:p>
    <w:p w14:paraId="40E59DD3" w14:textId="77777777" w:rsidR="00763ADB" w:rsidRPr="004A6E08" w:rsidRDefault="00763ADB" w:rsidP="00763ADB">
      <w:pPr>
        <w:rPr>
          <w:rFonts w:cstheme="minorHAnsi"/>
        </w:rPr>
      </w:pPr>
    </w:p>
    <w:p w14:paraId="43E47CEC" w14:textId="77777777" w:rsidR="00763ADB" w:rsidRPr="004A6E08" w:rsidRDefault="00763ADB" w:rsidP="00763ADB">
      <w:pPr>
        <w:rPr>
          <w:rFonts w:cstheme="minorHAnsi"/>
        </w:rPr>
      </w:pPr>
    </w:p>
    <w:p w14:paraId="2F993856" w14:textId="77777777" w:rsidR="00763ADB" w:rsidRPr="004A6E08" w:rsidRDefault="00763ADB" w:rsidP="00763ADB">
      <w:pPr>
        <w:rPr>
          <w:rFonts w:cstheme="minorHAnsi"/>
        </w:rPr>
      </w:pPr>
    </w:p>
    <w:p w14:paraId="2413037A" w14:textId="77777777" w:rsidR="00763ADB" w:rsidRPr="004A6E08" w:rsidRDefault="00763ADB" w:rsidP="00763ADB">
      <w:pPr>
        <w:rPr>
          <w:rFonts w:cstheme="minorHAnsi"/>
        </w:rPr>
      </w:pPr>
    </w:p>
    <w:p w14:paraId="087916B2" w14:textId="77777777" w:rsidR="00763ADB" w:rsidRPr="004A6E08" w:rsidRDefault="00763ADB" w:rsidP="00763ADB">
      <w:pPr>
        <w:rPr>
          <w:rFonts w:cstheme="minorHAnsi"/>
        </w:rPr>
      </w:pPr>
    </w:p>
    <w:p w14:paraId="2868670F" w14:textId="77777777" w:rsidR="00763ADB" w:rsidRPr="004A6E08" w:rsidRDefault="00763ADB" w:rsidP="00763ADB">
      <w:pPr>
        <w:rPr>
          <w:rFonts w:cstheme="minorHAnsi"/>
        </w:rPr>
      </w:pPr>
    </w:p>
    <w:p w14:paraId="48466D5C" w14:textId="77777777" w:rsidR="00763ADB" w:rsidRPr="004A6E08" w:rsidRDefault="00763ADB" w:rsidP="00763ADB">
      <w:pPr>
        <w:rPr>
          <w:rFonts w:cstheme="minorHAnsi"/>
        </w:rPr>
      </w:pPr>
    </w:p>
    <w:p w14:paraId="50DE4421" w14:textId="77777777" w:rsidR="00763ADB" w:rsidRPr="004A6E08" w:rsidRDefault="00763ADB" w:rsidP="00763ADB">
      <w:pPr>
        <w:rPr>
          <w:rFonts w:cstheme="minorHAnsi"/>
          <w:b/>
        </w:rPr>
      </w:pPr>
    </w:p>
    <w:p w14:paraId="79E87A6E" w14:textId="77777777" w:rsidR="00763ADB" w:rsidRPr="004A6E08" w:rsidRDefault="00763ADB" w:rsidP="006D5967">
      <w:pPr>
        <w:jc w:val="center"/>
        <w:rPr>
          <w:rFonts w:cstheme="minorHAnsi"/>
          <w:b/>
        </w:rPr>
      </w:pPr>
    </w:p>
    <w:p w14:paraId="66ADC2FF" w14:textId="77777777" w:rsidR="00763ADB" w:rsidRPr="00D8314A" w:rsidRDefault="00763ADB" w:rsidP="006D5967">
      <w:pPr>
        <w:jc w:val="center"/>
        <w:rPr>
          <w:rFonts w:cstheme="minorHAnsi"/>
          <w:b/>
          <w:sz w:val="32"/>
          <w:szCs w:val="32"/>
        </w:rPr>
      </w:pPr>
      <w:r w:rsidRPr="00D8314A">
        <w:rPr>
          <w:rFonts w:cstheme="minorHAnsi"/>
          <w:b/>
          <w:sz w:val="32"/>
          <w:szCs w:val="32"/>
        </w:rPr>
        <w:t>HRVATSKA REGULATORNA AGENCIJA ZA MREŽNE DJELATNOSTI</w:t>
      </w:r>
    </w:p>
    <w:p w14:paraId="331EA65A" w14:textId="77777777" w:rsidR="00763ADB" w:rsidRPr="004A6E08" w:rsidRDefault="00763ADB" w:rsidP="00763ADB">
      <w:pPr>
        <w:rPr>
          <w:rFonts w:cstheme="minorHAnsi"/>
          <w:b/>
        </w:rPr>
      </w:pPr>
    </w:p>
    <w:p w14:paraId="39E08BE2" w14:textId="77777777" w:rsidR="00763ADB" w:rsidRPr="004A6E08" w:rsidRDefault="00763ADB" w:rsidP="00763ADB">
      <w:pPr>
        <w:ind w:left="3600"/>
        <w:rPr>
          <w:rFonts w:cstheme="minorHAnsi"/>
        </w:rPr>
      </w:pPr>
    </w:p>
    <w:p w14:paraId="766337FD" w14:textId="77777777" w:rsidR="00763ADB" w:rsidRPr="004A6E08" w:rsidRDefault="00763ADB" w:rsidP="00763ADB">
      <w:pPr>
        <w:ind w:left="3600"/>
        <w:rPr>
          <w:rFonts w:cstheme="minorHAnsi"/>
        </w:rPr>
      </w:pPr>
    </w:p>
    <w:p w14:paraId="5767CB69" w14:textId="77777777" w:rsidR="00763ADB" w:rsidRPr="004A6E08" w:rsidRDefault="00763ADB" w:rsidP="00763ADB">
      <w:pPr>
        <w:ind w:left="3600"/>
        <w:rPr>
          <w:rFonts w:cstheme="minorHAnsi"/>
        </w:rPr>
      </w:pPr>
    </w:p>
    <w:p w14:paraId="43F36791" w14:textId="711FB456" w:rsidR="00763ADB" w:rsidRPr="00D8314A" w:rsidRDefault="001C5F1F" w:rsidP="00763ADB">
      <w:pPr>
        <w:ind w:left="3600"/>
        <w:rPr>
          <w:rFonts w:cstheme="minorHAnsi"/>
          <w:sz w:val="32"/>
          <w:szCs w:val="32"/>
        </w:rPr>
      </w:pPr>
      <w:r w:rsidRPr="00D8314A">
        <w:rPr>
          <w:rFonts w:cstheme="minorHAnsi"/>
          <w:sz w:val="32"/>
          <w:szCs w:val="32"/>
        </w:rPr>
        <w:t>Godišnji</w:t>
      </w:r>
      <w:r w:rsidR="006D5967" w:rsidRPr="00D8314A">
        <w:rPr>
          <w:rFonts w:cstheme="minorHAnsi"/>
          <w:sz w:val="32"/>
          <w:szCs w:val="32"/>
        </w:rPr>
        <w:t xml:space="preserve"> izvještaj o izvršenju</w:t>
      </w:r>
      <w:r w:rsidR="00763ADB" w:rsidRPr="00D8314A">
        <w:rPr>
          <w:rFonts w:cstheme="minorHAnsi"/>
          <w:sz w:val="32"/>
          <w:szCs w:val="32"/>
        </w:rPr>
        <w:t xml:space="preserve"> fi</w:t>
      </w:r>
      <w:r w:rsidR="00413036">
        <w:rPr>
          <w:rFonts w:cstheme="minorHAnsi"/>
          <w:sz w:val="32"/>
          <w:szCs w:val="32"/>
        </w:rPr>
        <w:t>nancijskog plana HAKOM-a za 2024</w:t>
      </w:r>
      <w:r w:rsidR="00763ADB" w:rsidRPr="00D8314A">
        <w:rPr>
          <w:rFonts w:cstheme="minorHAnsi"/>
          <w:sz w:val="32"/>
          <w:szCs w:val="32"/>
        </w:rPr>
        <w:t>. godinu</w:t>
      </w:r>
    </w:p>
    <w:p w14:paraId="6BD8F925" w14:textId="77777777" w:rsidR="00763ADB" w:rsidRPr="004A6E08" w:rsidRDefault="00763ADB" w:rsidP="00763ADB">
      <w:pPr>
        <w:ind w:left="3600"/>
        <w:rPr>
          <w:rFonts w:cstheme="minorHAnsi"/>
        </w:rPr>
      </w:pPr>
      <w:r w:rsidRPr="004A6E08">
        <w:rPr>
          <w:rFonts w:cstheme="minorHAnsi"/>
        </w:rPr>
        <w:t>_________________________________</w:t>
      </w:r>
    </w:p>
    <w:p w14:paraId="7DDAE79D" w14:textId="684AB2F9" w:rsidR="00763ADB" w:rsidRPr="00D8314A" w:rsidRDefault="00763ADB" w:rsidP="00763ADB">
      <w:pPr>
        <w:rPr>
          <w:rFonts w:cstheme="minorHAnsi"/>
          <w:sz w:val="28"/>
          <w:szCs w:val="28"/>
        </w:rPr>
      </w:pPr>
      <w:r w:rsidRPr="004A6E08">
        <w:rPr>
          <w:rFonts w:cstheme="minorHAnsi"/>
        </w:rPr>
        <w:t xml:space="preserve">  </w:t>
      </w:r>
      <w:r w:rsidRPr="004A6E08">
        <w:rPr>
          <w:rFonts w:cstheme="minorHAnsi"/>
        </w:rPr>
        <w:tab/>
      </w:r>
      <w:r w:rsidRPr="004A6E08">
        <w:rPr>
          <w:rFonts w:cstheme="minorHAnsi"/>
        </w:rPr>
        <w:tab/>
      </w:r>
      <w:r w:rsidRPr="004A6E08">
        <w:rPr>
          <w:rFonts w:cstheme="minorHAnsi"/>
        </w:rPr>
        <w:tab/>
      </w:r>
      <w:r w:rsidRPr="004A6E08">
        <w:rPr>
          <w:rFonts w:cstheme="minorHAnsi"/>
        </w:rPr>
        <w:tab/>
      </w:r>
      <w:r w:rsidRPr="004A6E08">
        <w:rPr>
          <w:rFonts w:cstheme="minorHAnsi"/>
        </w:rPr>
        <w:tab/>
      </w:r>
      <w:r w:rsidRPr="00D8314A">
        <w:rPr>
          <w:rFonts w:cstheme="minorHAnsi"/>
          <w:sz w:val="28"/>
          <w:szCs w:val="28"/>
        </w:rPr>
        <w:t xml:space="preserve">Zagreb, </w:t>
      </w:r>
      <w:r w:rsidR="001C5F1F" w:rsidRPr="00D8314A">
        <w:rPr>
          <w:rFonts w:cstheme="minorHAnsi"/>
          <w:sz w:val="28"/>
          <w:szCs w:val="28"/>
        </w:rPr>
        <w:t>ožujak 202</w:t>
      </w:r>
      <w:r w:rsidR="00413036">
        <w:rPr>
          <w:rFonts w:cstheme="minorHAnsi"/>
          <w:sz w:val="28"/>
          <w:szCs w:val="28"/>
        </w:rPr>
        <w:t>5</w:t>
      </w:r>
      <w:r w:rsidRPr="00D8314A">
        <w:rPr>
          <w:rFonts w:cstheme="minorHAnsi"/>
          <w:sz w:val="28"/>
          <w:szCs w:val="28"/>
        </w:rPr>
        <w:t>.</w:t>
      </w:r>
    </w:p>
    <w:p w14:paraId="51F476E2" w14:textId="77777777" w:rsidR="00763ADB" w:rsidRPr="004A6E08" w:rsidRDefault="00763ADB" w:rsidP="00E4575A">
      <w:pPr>
        <w:ind w:firstLine="720"/>
        <w:rPr>
          <w:rFonts w:cstheme="minorHAnsi"/>
        </w:rPr>
      </w:pPr>
    </w:p>
    <w:p w14:paraId="2A8197E4" w14:textId="75CE4CA9" w:rsidR="00763ADB" w:rsidRDefault="00763ADB" w:rsidP="00763ADB">
      <w:pPr>
        <w:rPr>
          <w:rFonts w:cstheme="minorHAnsi"/>
        </w:rPr>
      </w:pPr>
    </w:p>
    <w:p w14:paraId="065FD381" w14:textId="75261246" w:rsidR="004A6E08" w:rsidRDefault="004A6E08" w:rsidP="00763ADB">
      <w:pPr>
        <w:rPr>
          <w:rFonts w:cstheme="minorHAnsi"/>
        </w:rPr>
      </w:pPr>
    </w:p>
    <w:p w14:paraId="5097F294" w14:textId="63610FCA" w:rsidR="004A6E08" w:rsidRDefault="004A6E08" w:rsidP="00763ADB">
      <w:pPr>
        <w:rPr>
          <w:rFonts w:cstheme="minorHAnsi"/>
        </w:rPr>
      </w:pPr>
    </w:p>
    <w:p w14:paraId="1DA7A1E2" w14:textId="77777777" w:rsidR="004A6E08" w:rsidRPr="004A6E08" w:rsidRDefault="004A6E08" w:rsidP="00763ADB">
      <w:pPr>
        <w:rPr>
          <w:rFonts w:cstheme="minorHAnsi"/>
        </w:rPr>
      </w:pPr>
    </w:p>
    <w:sdt>
      <w:sdtPr>
        <w:rPr>
          <w:rFonts w:asciiTheme="minorHAnsi" w:eastAsiaTheme="minorHAnsi" w:hAnsiTheme="minorHAnsi" w:cstheme="minorHAnsi"/>
          <w:b w:val="0"/>
          <w:color w:val="auto"/>
          <w:sz w:val="22"/>
          <w:szCs w:val="22"/>
          <w:lang w:val="hr-HR"/>
        </w:rPr>
        <w:id w:val="190956676"/>
        <w:docPartObj>
          <w:docPartGallery w:val="Table of Contents"/>
          <w:docPartUnique/>
        </w:docPartObj>
      </w:sdtPr>
      <w:sdtEndPr>
        <w:rPr>
          <w:bCs/>
          <w:noProof/>
        </w:rPr>
      </w:sdtEndPr>
      <w:sdtContent>
        <w:p w14:paraId="283BF541" w14:textId="77777777" w:rsidR="001300E9" w:rsidRPr="004A6E08" w:rsidRDefault="001300E9">
          <w:pPr>
            <w:pStyle w:val="TOCHeading"/>
            <w:rPr>
              <w:rFonts w:asciiTheme="minorHAnsi" w:hAnsiTheme="minorHAnsi" w:cstheme="minorHAnsi"/>
              <w:sz w:val="22"/>
              <w:szCs w:val="22"/>
            </w:rPr>
          </w:pPr>
          <w:proofErr w:type="spellStart"/>
          <w:r w:rsidRPr="004A6E08">
            <w:rPr>
              <w:rFonts w:asciiTheme="minorHAnsi" w:hAnsiTheme="minorHAnsi" w:cstheme="minorHAnsi"/>
              <w:sz w:val="22"/>
              <w:szCs w:val="22"/>
            </w:rPr>
            <w:t>Sadržaj</w:t>
          </w:r>
          <w:proofErr w:type="spellEnd"/>
        </w:p>
        <w:p w14:paraId="1F3C9695" w14:textId="77777777" w:rsidR="001300E9" w:rsidRPr="004A6E08" w:rsidRDefault="001300E9" w:rsidP="001300E9">
          <w:pPr>
            <w:rPr>
              <w:rFonts w:cstheme="minorHAnsi"/>
              <w:lang w:val="en-US"/>
            </w:rPr>
          </w:pPr>
        </w:p>
        <w:p w14:paraId="7D6CD840" w14:textId="2D55E1C5" w:rsidR="0099791B" w:rsidRDefault="001300E9">
          <w:pPr>
            <w:pStyle w:val="TOC1"/>
            <w:tabs>
              <w:tab w:val="left" w:pos="440"/>
              <w:tab w:val="right" w:leader="dot" w:pos="10528"/>
            </w:tabs>
            <w:rPr>
              <w:rFonts w:asciiTheme="minorHAnsi" w:hAnsiTheme="minorHAnsi" w:cstheme="minorBidi"/>
              <w:b w:val="0"/>
              <w:noProof/>
              <w:sz w:val="22"/>
              <w:lang w:val="hr-HR" w:eastAsia="hr-HR"/>
            </w:rPr>
          </w:pPr>
          <w:r w:rsidRPr="004A6E08">
            <w:rPr>
              <w:rFonts w:asciiTheme="minorHAnsi" w:hAnsiTheme="minorHAnsi" w:cstheme="minorHAnsi"/>
              <w:sz w:val="22"/>
            </w:rPr>
            <w:fldChar w:fldCharType="begin"/>
          </w:r>
          <w:r w:rsidRPr="004A6E08">
            <w:rPr>
              <w:rFonts w:asciiTheme="minorHAnsi" w:hAnsiTheme="minorHAnsi" w:cstheme="minorHAnsi"/>
              <w:sz w:val="22"/>
            </w:rPr>
            <w:instrText xml:space="preserve"> TOC \o "1-3" \h \z \u </w:instrText>
          </w:r>
          <w:r w:rsidRPr="004A6E08">
            <w:rPr>
              <w:rFonts w:asciiTheme="minorHAnsi" w:hAnsiTheme="minorHAnsi" w:cstheme="minorHAnsi"/>
              <w:sz w:val="22"/>
            </w:rPr>
            <w:fldChar w:fldCharType="separate"/>
          </w:r>
          <w:hyperlink w:anchor="_Toc193802940" w:history="1">
            <w:r w:rsidR="0099791B" w:rsidRPr="0064339B">
              <w:rPr>
                <w:rStyle w:val="Hyperlink"/>
                <w:rFonts w:cstheme="minorHAnsi"/>
                <w:noProof/>
              </w:rPr>
              <w:t>1.</w:t>
            </w:r>
            <w:r w:rsidR="0099791B">
              <w:rPr>
                <w:rFonts w:asciiTheme="minorHAnsi" w:hAnsiTheme="minorHAnsi" w:cstheme="minorBidi"/>
                <w:b w:val="0"/>
                <w:noProof/>
                <w:sz w:val="22"/>
                <w:lang w:val="hr-HR" w:eastAsia="hr-HR"/>
              </w:rPr>
              <w:tab/>
            </w:r>
            <w:r w:rsidR="0099791B" w:rsidRPr="0064339B">
              <w:rPr>
                <w:rStyle w:val="Hyperlink"/>
                <w:rFonts w:cstheme="minorHAnsi"/>
                <w:noProof/>
              </w:rPr>
              <w:t>Opći dio godišnjeg izvještaja o izvršenju financijskog plana</w:t>
            </w:r>
            <w:r w:rsidR="0099791B">
              <w:rPr>
                <w:noProof/>
                <w:webHidden/>
              </w:rPr>
              <w:tab/>
            </w:r>
            <w:r w:rsidR="0099791B">
              <w:rPr>
                <w:noProof/>
                <w:webHidden/>
              </w:rPr>
              <w:fldChar w:fldCharType="begin"/>
            </w:r>
            <w:r w:rsidR="0099791B">
              <w:rPr>
                <w:noProof/>
                <w:webHidden/>
              </w:rPr>
              <w:instrText xml:space="preserve"> PAGEREF _Toc193802940 \h </w:instrText>
            </w:r>
            <w:r w:rsidR="0099791B">
              <w:rPr>
                <w:noProof/>
                <w:webHidden/>
              </w:rPr>
            </w:r>
            <w:r w:rsidR="0099791B">
              <w:rPr>
                <w:noProof/>
                <w:webHidden/>
              </w:rPr>
              <w:fldChar w:fldCharType="separate"/>
            </w:r>
            <w:r w:rsidR="00F16BE7">
              <w:rPr>
                <w:noProof/>
                <w:webHidden/>
              </w:rPr>
              <w:t>3</w:t>
            </w:r>
            <w:r w:rsidR="0099791B">
              <w:rPr>
                <w:noProof/>
                <w:webHidden/>
              </w:rPr>
              <w:fldChar w:fldCharType="end"/>
            </w:r>
          </w:hyperlink>
        </w:p>
        <w:p w14:paraId="53B0FD65" w14:textId="12BA559B" w:rsidR="0099791B" w:rsidRDefault="00760C44">
          <w:pPr>
            <w:pStyle w:val="TOC2"/>
            <w:rPr>
              <w:rFonts w:asciiTheme="minorHAnsi" w:eastAsiaTheme="minorEastAsia" w:hAnsiTheme="minorHAnsi" w:cstheme="minorBidi"/>
              <w:i w:val="0"/>
              <w:color w:val="auto"/>
              <w:sz w:val="22"/>
              <w:lang w:eastAsia="hr-HR"/>
            </w:rPr>
          </w:pPr>
          <w:hyperlink w:anchor="_Toc193802941" w:history="1">
            <w:r w:rsidR="0099791B" w:rsidRPr="0064339B">
              <w:rPr>
                <w:rStyle w:val="Hyperlink"/>
                <w:b/>
                <w:lang w:eastAsia="hr-HR"/>
              </w:rPr>
              <w:t>1.1.</w:t>
            </w:r>
            <w:r w:rsidR="0099791B">
              <w:rPr>
                <w:rFonts w:asciiTheme="minorHAnsi" w:eastAsiaTheme="minorEastAsia" w:hAnsiTheme="minorHAnsi" w:cstheme="minorBidi"/>
                <w:i w:val="0"/>
                <w:color w:val="auto"/>
                <w:sz w:val="22"/>
                <w:lang w:eastAsia="hr-HR"/>
              </w:rPr>
              <w:tab/>
            </w:r>
            <w:r w:rsidR="0099791B" w:rsidRPr="0064339B">
              <w:rPr>
                <w:rStyle w:val="Hyperlink"/>
                <w:b/>
                <w:lang w:eastAsia="hr-HR"/>
              </w:rPr>
              <w:t>Sažetak Računa prihoda i rashoda i Računa financiranja</w:t>
            </w:r>
            <w:r w:rsidR="0099791B">
              <w:rPr>
                <w:webHidden/>
              </w:rPr>
              <w:tab/>
            </w:r>
            <w:r w:rsidR="0099791B">
              <w:rPr>
                <w:webHidden/>
              </w:rPr>
              <w:fldChar w:fldCharType="begin"/>
            </w:r>
            <w:r w:rsidR="0099791B">
              <w:rPr>
                <w:webHidden/>
              </w:rPr>
              <w:instrText xml:space="preserve"> PAGEREF _Toc193802941 \h </w:instrText>
            </w:r>
            <w:r w:rsidR="0099791B">
              <w:rPr>
                <w:webHidden/>
              </w:rPr>
            </w:r>
            <w:r w:rsidR="0099791B">
              <w:rPr>
                <w:webHidden/>
              </w:rPr>
              <w:fldChar w:fldCharType="separate"/>
            </w:r>
            <w:r w:rsidR="00F16BE7">
              <w:rPr>
                <w:webHidden/>
              </w:rPr>
              <w:t>3</w:t>
            </w:r>
            <w:r w:rsidR="0099791B">
              <w:rPr>
                <w:webHidden/>
              </w:rPr>
              <w:fldChar w:fldCharType="end"/>
            </w:r>
          </w:hyperlink>
        </w:p>
        <w:p w14:paraId="47F5E621" w14:textId="7CCFC28D"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2" w:history="1">
            <w:r w:rsidR="0099791B" w:rsidRPr="0064339B">
              <w:rPr>
                <w:rStyle w:val="Hyperlink"/>
                <w:rFonts w:cstheme="minorHAnsi"/>
                <w:noProof/>
                <w:lang w:eastAsia="hr-HR"/>
              </w:rPr>
              <w:t>1.1.1.</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lang w:eastAsia="hr-HR"/>
              </w:rPr>
              <w:t>Sažetak računa prihoda i rashoda</w:t>
            </w:r>
            <w:r w:rsidR="0099791B">
              <w:rPr>
                <w:noProof/>
                <w:webHidden/>
              </w:rPr>
              <w:tab/>
            </w:r>
            <w:r w:rsidR="0099791B">
              <w:rPr>
                <w:noProof/>
                <w:webHidden/>
              </w:rPr>
              <w:fldChar w:fldCharType="begin"/>
            </w:r>
            <w:r w:rsidR="0099791B">
              <w:rPr>
                <w:noProof/>
                <w:webHidden/>
              </w:rPr>
              <w:instrText xml:space="preserve"> PAGEREF _Toc193802942 \h </w:instrText>
            </w:r>
            <w:r w:rsidR="0099791B">
              <w:rPr>
                <w:noProof/>
                <w:webHidden/>
              </w:rPr>
            </w:r>
            <w:r w:rsidR="0099791B">
              <w:rPr>
                <w:noProof/>
                <w:webHidden/>
              </w:rPr>
              <w:fldChar w:fldCharType="separate"/>
            </w:r>
            <w:r w:rsidR="00F16BE7">
              <w:rPr>
                <w:noProof/>
                <w:webHidden/>
              </w:rPr>
              <w:t>3</w:t>
            </w:r>
            <w:r w:rsidR="0099791B">
              <w:rPr>
                <w:noProof/>
                <w:webHidden/>
              </w:rPr>
              <w:fldChar w:fldCharType="end"/>
            </w:r>
          </w:hyperlink>
        </w:p>
        <w:p w14:paraId="3F8A630B" w14:textId="242D5417"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3" w:history="1">
            <w:r w:rsidR="0099791B" w:rsidRPr="0064339B">
              <w:rPr>
                <w:rStyle w:val="Hyperlink"/>
                <w:rFonts w:cstheme="minorHAnsi"/>
                <w:noProof/>
              </w:rPr>
              <w:t>1.1.2.</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rPr>
              <w:t>Sažetak računa financiranja</w:t>
            </w:r>
            <w:r w:rsidR="0099791B">
              <w:rPr>
                <w:noProof/>
                <w:webHidden/>
              </w:rPr>
              <w:tab/>
            </w:r>
            <w:r w:rsidR="0099791B">
              <w:rPr>
                <w:noProof/>
                <w:webHidden/>
              </w:rPr>
              <w:fldChar w:fldCharType="begin"/>
            </w:r>
            <w:r w:rsidR="0099791B">
              <w:rPr>
                <w:noProof/>
                <w:webHidden/>
              </w:rPr>
              <w:instrText xml:space="preserve"> PAGEREF _Toc193802943 \h </w:instrText>
            </w:r>
            <w:r w:rsidR="0099791B">
              <w:rPr>
                <w:noProof/>
                <w:webHidden/>
              </w:rPr>
            </w:r>
            <w:r w:rsidR="0099791B">
              <w:rPr>
                <w:noProof/>
                <w:webHidden/>
              </w:rPr>
              <w:fldChar w:fldCharType="separate"/>
            </w:r>
            <w:r w:rsidR="00F16BE7">
              <w:rPr>
                <w:noProof/>
                <w:webHidden/>
              </w:rPr>
              <w:t>3</w:t>
            </w:r>
            <w:r w:rsidR="0099791B">
              <w:rPr>
                <w:noProof/>
                <w:webHidden/>
              </w:rPr>
              <w:fldChar w:fldCharType="end"/>
            </w:r>
          </w:hyperlink>
        </w:p>
        <w:p w14:paraId="3B067BC8" w14:textId="652DC7FB" w:rsidR="0099791B" w:rsidRDefault="00760C44">
          <w:pPr>
            <w:pStyle w:val="TOC2"/>
            <w:rPr>
              <w:rFonts w:asciiTheme="minorHAnsi" w:eastAsiaTheme="minorEastAsia" w:hAnsiTheme="minorHAnsi" w:cstheme="minorBidi"/>
              <w:i w:val="0"/>
              <w:color w:val="auto"/>
              <w:sz w:val="22"/>
              <w:lang w:eastAsia="hr-HR"/>
            </w:rPr>
          </w:pPr>
          <w:hyperlink w:anchor="_Toc193802944" w:history="1">
            <w:r w:rsidR="0099791B" w:rsidRPr="0064339B">
              <w:rPr>
                <w:rStyle w:val="Hyperlink"/>
                <w:b/>
              </w:rPr>
              <w:t>1.2.</w:t>
            </w:r>
            <w:r w:rsidR="0099791B">
              <w:rPr>
                <w:rFonts w:asciiTheme="minorHAnsi" w:eastAsiaTheme="minorEastAsia" w:hAnsiTheme="minorHAnsi" w:cstheme="minorBidi"/>
                <w:i w:val="0"/>
                <w:color w:val="auto"/>
                <w:sz w:val="22"/>
                <w:lang w:eastAsia="hr-HR"/>
              </w:rPr>
              <w:tab/>
            </w:r>
            <w:r w:rsidR="0099791B" w:rsidRPr="0064339B">
              <w:rPr>
                <w:rStyle w:val="Hyperlink"/>
                <w:b/>
              </w:rPr>
              <w:t>Račun prihoda i rashoda</w:t>
            </w:r>
            <w:r w:rsidR="0099791B">
              <w:rPr>
                <w:webHidden/>
              </w:rPr>
              <w:tab/>
            </w:r>
            <w:r w:rsidR="0099791B">
              <w:rPr>
                <w:webHidden/>
              </w:rPr>
              <w:fldChar w:fldCharType="begin"/>
            </w:r>
            <w:r w:rsidR="0099791B">
              <w:rPr>
                <w:webHidden/>
              </w:rPr>
              <w:instrText xml:space="preserve"> PAGEREF _Toc193802944 \h </w:instrText>
            </w:r>
            <w:r w:rsidR="0099791B">
              <w:rPr>
                <w:webHidden/>
              </w:rPr>
            </w:r>
            <w:r w:rsidR="0099791B">
              <w:rPr>
                <w:webHidden/>
              </w:rPr>
              <w:fldChar w:fldCharType="separate"/>
            </w:r>
            <w:r w:rsidR="00F16BE7">
              <w:rPr>
                <w:webHidden/>
              </w:rPr>
              <w:t>3</w:t>
            </w:r>
            <w:r w:rsidR="0099791B">
              <w:rPr>
                <w:webHidden/>
              </w:rPr>
              <w:fldChar w:fldCharType="end"/>
            </w:r>
          </w:hyperlink>
        </w:p>
        <w:p w14:paraId="02C778E2" w14:textId="34447FAD"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5" w:history="1">
            <w:r w:rsidR="0099791B" w:rsidRPr="0064339B">
              <w:rPr>
                <w:rStyle w:val="Hyperlink"/>
                <w:rFonts w:cstheme="minorHAnsi"/>
                <w:noProof/>
              </w:rPr>
              <w:t>1.2.1.</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rPr>
              <w:t>Izvještaj o prihodima i rashodima prema ekonomskoj klasifikaciji</w:t>
            </w:r>
            <w:r w:rsidR="0099791B">
              <w:rPr>
                <w:noProof/>
                <w:webHidden/>
              </w:rPr>
              <w:tab/>
            </w:r>
            <w:r w:rsidR="0099791B">
              <w:rPr>
                <w:noProof/>
                <w:webHidden/>
              </w:rPr>
              <w:fldChar w:fldCharType="begin"/>
            </w:r>
            <w:r w:rsidR="0099791B">
              <w:rPr>
                <w:noProof/>
                <w:webHidden/>
              </w:rPr>
              <w:instrText xml:space="preserve"> PAGEREF _Toc193802945 \h </w:instrText>
            </w:r>
            <w:r w:rsidR="0099791B">
              <w:rPr>
                <w:noProof/>
                <w:webHidden/>
              </w:rPr>
            </w:r>
            <w:r w:rsidR="0099791B">
              <w:rPr>
                <w:noProof/>
                <w:webHidden/>
              </w:rPr>
              <w:fldChar w:fldCharType="separate"/>
            </w:r>
            <w:r w:rsidR="00F16BE7">
              <w:rPr>
                <w:noProof/>
                <w:webHidden/>
              </w:rPr>
              <w:t>3</w:t>
            </w:r>
            <w:r w:rsidR="0099791B">
              <w:rPr>
                <w:noProof/>
                <w:webHidden/>
              </w:rPr>
              <w:fldChar w:fldCharType="end"/>
            </w:r>
          </w:hyperlink>
        </w:p>
        <w:p w14:paraId="397525AF" w14:textId="12324465"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6" w:history="1">
            <w:r w:rsidR="0099791B" w:rsidRPr="0064339B">
              <w:rPr>
                <w:rStyle w:val="Hyperlink"/>
                <w:rFonts w:cstheme="minorHAnsi"/>
                <w:noProof/>
                <w:lang w:eastAsia="hr-HR"/>
              </w:rPr>
              <w:t>1.2.2.</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lang w:eastAsia="hr-HR"/>
              </w:rPr>
              <w:t>Izvještaj o prihodima i rashodima prema izvorima financiranja</w:t>
            </w:r>
            <w:r w:rsidR="0099791B">
              <w:rPr>
                <w:noProof/>
                <w:webHidden/>
              </w:rPr>
              <w:tab/>
            </w:r>
            <w:r w:rsidR="0099791B">
              <w:rPr>
                <w:noProof/>
                <w:webHidden/>
              </w:rPr>
              <w:fldChar w:fldCharType="begin"/>
            </w:r>
            <w:r w:rsidR="0099791B">
              <w:rPr>
                <w:noProof/>
                <w:webHidden/>
              </w:rPr>
              <w:instrText xml:space="preserve"> PAGEREF _Toc193802946 \h </w:instrText>
            </w:r>
            <w:r w:rsidR="0099791B">
              <w:rPr>
                <w:noProof/>
                <w:webHidden/>
              </w:rPr>
            </w:r>
            <w:r w:rsidR="0099791B">
              <w:rPr>
                <w:noProof/>
                <w:webHidden/>
              </w:rPr>
              <w:fldChar w:fldCharType="separate"/>
            </w:r>
            <w:r w:rsidR="00F16BE7">
              <w:rPr>
                <w:noProof/>
                <w:webHidden/>
              </w:rPr>
              <w:t>5</w:t>
            </w:r>
            <w:r w:rsidR="0099791B">
              <w:rPr>
                <w:noProof/>
                <w:webHidden/>
              </w:rPr>
              <w:fldChar w:fldCharType="end"/>
            </w:r>
          </w:hyperlink>
        </w:p>
        <w:p w14:paraId="5E336B2A" w14:textId="37B66442"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7" w:history="1">
            <w:r w:rsidR="0099791B" w:rsidRPr="0064339B">
              <w:rPr>
                <w:rStyle w:val="Hyperlink"/>
                <w:rFonts w:cstheme="minorHAnsi"/>
                <w:noProof/>
              </w:rPr>
              <w:t>1.2.3.</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rPr>
              <w:t>Izvještaj o rashodima prema funkcijskoj klasifikaciji</w:t>
            </w:r>
            <w:r w:rsidR="0099791B">
              <w:rPr>
                <w:noProof/>
                <w:webHidden/>
              </w:rPr>
              <w:tab/>
            </w:r>
            <w:r w:rsidR="0099791B">
              <w:rPr>
                <w:noProof/>
                <w:webHidden/>
              </w:rPr>
              <w:fldChar w:fldCharType="begin"/>
            </w:r>
            <w:r w:rsidR="0099791B">
              <w:rPr>
                <w:noProof/>
                <w:webHidden/>
              </w:rPr>
              <w:instrText xml:space="preserve"> PAGEREF _Toc193802947 \h </w:instrText>
            </w:r>
            <w:r w:rsidR="0099791B">
              <w:rPr>
                <w:noProof/>
                <w:webHidden/>
              </w:rPr>
            </w:r>
            <w:r w:rsidR="0099791B">
              <w:rPr>
                <w:noProof/>
                <w:webHidden/>
              </w:rPr>
              <w:fldChar w:fldCharType="separate"/>
            </w:r>
            <w:r w:rsidR="00F16BE7">
              <w:rPr>
                <w:noProof/>
                <w:webHidden/>
              </w:rPr>
              <w:t>5</w:t>
            </w:r>
            <w:r w:rsidR="0099791B">
              <w:rPr>
                <w:noProof/>
                <w:webHidden/>
              </w:rPr>
              <w:fldChar w:fldCharType="end"/>
            </w:r>
          </w:hyperlink>
        </w:p>
        <w:p w14:paraId="75A30AC3" w14:textId="55430810" w:rsidR="0099791B" w:rsidRDefault="00760C44">
          <w:pPr>
            <w:pStyle w:val="TOC2"/>
            <w:rPr>
              <w:rFonts w:asciiTheme="minorHAnsi" w:eastAsiaTheme="minorEastAsia" w:hAnsiTheme="minorHAnsi" w:cstheme="minorBidi"/>
              <w:i w:val="0"/>
              <w:color w:val="auto"/>
              <w:sz w:val="22"/>
              <w:lang w:eastAsia="hr-HR"/>
            </w:rPr>
          </w:pPr>
          <w:hyperlink w:anchor="_Toc193802948" w:history="1">
            <w:r w:rsidR="0099791B" w:rsidRPr="0064339B">
              <w:rPr>
                <w:rStyle w:val="Hyperlink"/>
                <w:b/>
              </w:rPr>
              <w:t>1.3.</w:t>
            </w:r>
            <w:r w:rsidR="0099791B">
              <w:rPr>
                <w:rFonts w:asciiTheme="minorHAnsi" w:eastAsiaTheme="minorEastAsia" w:hAnsiTheme="minorHAnsi" w:cstheme="minorBidi"/>
                <w:i w:val="0"/>
                <w:color w:val="auto"/>
                <w:sz w:val="22"/>
                <w:lang w:eastAsia="hr-HR"/>
              </w:rPr>
              <w:tab/>
            </w:r>
            <w:r w:rsidR="0099791B" w:rsidRPr="0064339B">
              <w:rPr>
                <w:rStyle w:val="Hyperlink"/>
                <w:b/>
              </w:rPr>
              <w:t>Račun financiranja</w:t>
            </w:r>
            <w:r w:rsidR="0099791B">
              <w:rPr>
                <w:webHidden/>
              </w:rPr>
              <w:tab/>
            </w:r>
            <w:r w:rsidR="0099791B">
              <w:rPr>
                <w:webHidden/>
              </w:rPr>
              <w:fldChar w:fldCharType="begin"/>
            </w:r>
            <w:r w:rsidR="0099791B">
              <w:rPr>
                <w:webHidden/>
              </w:rPr>
              <w:instrText xml:space="preserve"> PAGEREF _Toc193802948 \h </w:instrText>
            </w:r>
            <w:r w:rsidR="0099791B">
              <w:rPr>
                <w:webHidden/>
              </w:rPr>
            </w:r>
            <w:r w:rsidR="0099791B">
              <w:rPr>
                <w:webHidden/>
              </w:rPr>
              <w:fldChar w:fldCharType="separate"/>
            </w:r>
            <w:r w:rsidR="00F16BE7">
              <w:rPr>
                <w:webHidden/>
              </w:rPr>
              <w:t>5</w:t>
            </w:r>
            <w:r w:rsidR="0099791B">
              <w:rPr>
                <w:webHidden/>
              </w:rPr>
              <w:fldChar w:fldCharType="end"/>
            </w:r>
          </w:hyperlink>
        </w:p>
        <w:p w14:paraId="0AE0D93F" w14:textId="18FD8A11"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49" w:history="1">
            <w:r w:rsidR="0099791B" w:rsidRPr="0064339B">
              <w:rPr>
                <w:rStyle w:val="Hyperlink"/>
                <w:rFonts w:cstheme="minorHAnsi"/>
                <w:noProof/>
              </w:rPr>
              <w:t>1.3.1.</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rPr>
              <w:t>Izvještaj računa financiranja prema ekonomskoj klasifikaciji</w:t>
            </w:r>
            <w:r w:rsidR="0099791B">
              <w:rPr>
                <w:noProof/>
                <w:webHidden/>
              </w:rPr>
              <w:tab/>
            </w:r>
            <w:r w:rsidR="0099791B">
              <w:rPr>
                <w:noProof/>
                <w:webHidden/>
              </w:rPr>
              <w:fldChar w:fldCharType="begin"/>
            </w:r>
            <w:r w:rsidR="0099791B">
              <w:rPr>
                <w:noProof/>
                <w:webHidden/>
              </w:rPr>
              <w:instrText xml:space="preserve"> PAGEREF _Toc193802949 \h </w:instrText>
            </w:r>
            <w:r w:rsidR="0099791B">
              <w:rPr>
                <w:noProof/>
                <w:webHidden/>
              </w:rPr>
            </w:r>
            <w:r w:rsidR="0099791B">
              <w:rPr>
                <w:noProof/>
                <w:webHidden/>
              </w:rPr>
              <w:fldChar w:fldCharType="separate"/>
            </w:r>
            <w:r w:rsidR="00F16BE7">
              <w:rPr>
                <w:noProof/>
                <w:webHidden/>
              </w:rPr>
              <w:t>5</w:t>
            </w:r>
            <w:r w:rsidR="0099791B">
              <w:rPr>
                <w:noProof/>
                <w:webHidden/>
              </w:rPr>
              <w:fldChar w:fldCharType="end"/>
            </w:r>
          </w:hyperlink>
        </w:p>
        <w:p w14:paraId="6EFB09D8" w14:textId="7A4A2F51" w:rsidR="0099791B" w:rsidRDefault="00760C44">
          <w:pPr>
            <w:pStyle w:val="TOC3"/>
            <w:tabs>
              <w:tab w:val="left" w:pos="1320"/>
              <w:tab w:val="right" w:leader="dot" w:pos="10528"/>
            </w:tabs>
            <w:rPr>
              <w:rFonts w:asciiTheme="minorHAnsi" w:eastAsiaTheme="minorEastAsia" w:hAnsiTheme="minorHAnsi"/>
              <w:i w:val="0"/>
              <w:noProof/>
              <w:color w:val="auto"/>
              <w:sz w:val="22"/>
              <w:lang w:eastAsia="hr-HR"/>
            </w:rPr>
          </w:pPr>
          <w:hyperlink w:anchor="_Toc193802950" w:history="1">
            <w:r w:rsidR="0099791B" w:rsidRPr="0064339B">
              <w:rPr>
                <w:rStyle w:val="Hyperlink"/>
                <w:rFonts w:cstheme="minorHAnsi"/>
                <w:noProof/>
              </w:rPr>
              <w:t>1.3.2.</w:t>
            </w:r>
            <w:r w:rsidR="0099791B">
              <w:rPr>
                <w:rFonts w:asciiTheme="minorHAnsi" w:eastAsiaTheme="minorEastAsia" w:hAnsiTheme="minorHAnsi"/>
                <w:i w:val="0"/>
                <w:noProof/>
                <w:color w:val="auto"/>
                <w:sz w:val="22"/>
                <w:lang w:eastAsia="hr-HR"/>
              </w:rPr>
              <w:tab/>
            </w:r>
            <w:r w:rsidR="0099791B" w:rsidRPr="0064339B">
              <w:rPr>
                <w:rStyle w:val="Hyperlink"/>
                <w:rFonts w:cstheme="minorHAnsi"/>
                <w:noProof/>
              </w:rPr>
              <w:t>Izvještaj računa financiranja prema izvorima financiranja</w:t>
            </w:r>
            <w:r w:rsidR="0099791B">
              <w:rPr>
                <w:noProof/>
                <w:webHidden/>
              </w:rPr>
              <w:tab/>
            </w:r>
            <w:r w:rsidR="0099791B">
              <w:rPr>
                <w:noProof/>
                <w:webHidden/>
              </w:rPr>
              <w:fldChar w:fldCharType="begin"/>
            </w:r>
            <w:r w:rsidR="0099791B">
              <w:rPr>
                <w:noProof/>
                <w:webHidden/>
              </w:rPr>
              <w:instrText xml:space="preserve"> PAGEREF _Toc193802950 \h </w:instrText>
            </w:r>
            <w:r w:rsidR="0099791B">
              <w:rPr>
                <w:noProof/>
                <w:webHidden/>
              </w:rPr>
            </w:r>
            <w:r w:rsidR="0099791B">
              <w:rPr>
                <w:noProof/>
                <w:webHidden/>
              </w:rPr>
              <w:fldChar w:fldCharType="separate"/>
            </w:r>
            <w:r w:rsidR="00F16BE7">
              <w:rPr>
                <w:noProof/>
                <w:webHidden/>
              </w:rPr>
              <w:t>5</w:t>
            </w:r>
            <w:r w:rsidR="0099791B">
              <w:rPr>
                <w:noProof/>
                <w:webHidden/>
              </w:rPr>
              <w:fldChar w:fldCharType="end"/>
            </w:r>
          </w:hyperlink>
        </w:p>
        <w:p w14:paraId="2FB59A02" w14:textId="0500B78E" w:rsidR="0099791B" w:rsidRDefault="00760C44">
          <w:pPr>
            <w:pStyle w:val="TOC1"/>
            <w:tabs>
              <w:tab w:val="left" w:pos="440"/>
              <w:tab w:val="right" w:leader="dot" w:pos="10528"/>
            </w:tabs>
            <w:rPr>
              <w:rFonts w:asciiTheme="minorHAnsi" w:hAnsiTheme="minorHAnsi" w:cstheme="minorBidi"/>
              <w:b w:val="0"/>
              <w:noProof/>
              <w:sz w:val="22"/>
              <w:lang w:val="hr-HR" w:eastAsia="hr-HR"/>
            </w:rPr>
          </w:pPr>
          <w:hyperlink w:anchor="_Toc193802951" w:history="1">
            <w:r w:rsidR="0099791B" w:rsidRPr="0064339B">
              <w:rPr>
                <w:rStyle w:val="Hyperlink"/>
                <w:rFonts w:cstheme="minorHAnsi"/>
                <w:noProof/>
              </w:rPr>
              <w:t>2.</w:t>
            </w:r>
            <w:r w:rsidR="0099791B">
              <w:rPr>
                <w:rFonts w:asciiTheme="minorHAnsi" w:hAnsiTheme="minorHAnsi" w:cstheme="minorBidi"/>
                <w:b w:val="0"/>
                <w:noProof/>
                <w:sz w:val="22"/>
                <w:lang w:val="hr-HR" w:eastAsia="hr-HR"/>
              </w:rPr>
              <w:tab/>
            </w:r>
            <w:r w:rsidR="0099791B" w:rsidRPr="0064339B">
              <w:rPr>
                <w:rStyle w:val="Hyperlink"/>
                <w:rFonts w:cstheme="minorHAnsi"/>
                <w:noProof/>
              </w:rPr>
              <w:t>Posebni dio</w:t>
            </w:r>
            <w:r w:rsidR="0099791B">
              <w:rPr>
                <w:noProof/>
                <w:webHidden/>
              </w:rPr>
              <w:tab/>
            </w:r>
            <w:r w:rsidR="0099791B">
              <w:rPr>
                <w:noProof/>
                <w:webHidden/>
              </w:rPr>
              <w:fldChar w:fldCharType="begin"/>
            </w:r>
            <w:r w:rsidR="0099791B">
              <w:rPr>
                <w:noProof/>
                <w:webHidden/>
              </w:rPr>
              <w:instrText xml:space="preserve"> PAGEREF _Toc193802951 \h </w:instrText>
            </w:r>
            <w:r w:rsidR="0099791B">
              <w:rPr>
                <w:noProof/>
                <w:webHidden/>
              </w:rPr>
            </w:r>
            <w:r w:rsidR="0099791B">
              <w:rPr>
                <w:noProof/>
                <w:webHidden/>
              </w:rPr>
              <w:fldChar w:fldCharType="separate"/>
            </w:r>
            <w:r w:rsidR="00F16BE7">
              <w:rPr>
                <w:noProof/>
                <w:webHidden/>
              </w:rPr>
              <w:t>6</w:t>
            </w:r>
            <w:r w:rsidR="0099791B">
              <w:rPr>
                <w:noProof/>
                <w:webHidden/>
              </w:rPr>
              <w:fldChar w:fldCharType="end"/>
            </w:r>
          </w:hyperlink>
        </w:p>
        <w:p w14:paraId="64E1FFFD" w14:textId="7E5440FE" w:rsidR="0099791B" w:rsidRDefault="00760C44">
          <w:pPr>
            <w:pStyle w:val="TOC1"/>
            <w:tabs>
              <w:tab w:val="left" w:pos="440"/>
              <w:tab w:val="right" w:leader="dot" w:pos="10528"/>
            </w:tabs>
            <w:rPr>
              <w:rFonts w:asciiTheme="minorHAnsi" w:hAnsiTheme="minorHAnsi" w:cstheme="minorBidi"/>
              <w:b w:val="0"/>
              <w:noProof/>
              <w:sz w:val="22"/>
              <w:lang w:val="hr-HR" w:eastAsia="hr-HR"/>
            </w:rPr>
          </w:pPr>
          <w:hyperlink w:anchor="_Toc193802952" w:history="1">
            <w:r w:rsidR="0099791B" w:rsidRPr="0064339B">
              <w:rPr>
                <w:rStyle w:val="Hyperlink"/>
                <w:rFonts w:cstheme="minorHAnsi"/>
                <w:noProof/>
              </w:rPr>
              <w:t>3.</w:t>
            </w:r>
            <w:r w:rsidR="0099791B">
              <w:rPr>
                <w:rFonts w:asciiTheme="minorHAnsi" w:hAnsiTheme="minorHAnsi" w:cstheme="minorBidi"/>
                <w:b w:val="0"/>
                <w:noProof/>
                <w:sz w:val="22"/>
                <w:lang w:val="hr-HR" w:eastAsia="hr-HR"/>
              </w:rPr>
              <w:tab/>
            </w:r>
            <w:r w:rsidR="0099791B" w:rsidRPr="0064339B">
              <w:rPr>
                <w:rStyle w:val="Hyperlink"/>
                <w:rFonts w:cstheme="minorHAnsi"/>
                <w:noProof/>
              </w:rPr>
              <w:t>Obrazloženje godišnjeg izvještaja o izvršenju financijskog plana</w:t>
            </w:r>
            <w:r w:rsidR="0099791B">
              <w:rPr>
                <w:noProof/>
                <w:webHidden/>
              </w:rPr>
              <w:tab/>
            </w:r>
            <w:r w:rsidR="0099791B">
              <w:rPr>
                <w:noProof/>
                <w:webHidden/>
              </w:rPr>
              <w:fldChar w:fldCharType="begin"/>
            </w:r>
            <w:r w:rsidR="0099791B">
              <w:rPr>
                <w:noProof/>
                <w:webHidden/>
              </w:rPr>
              <w:instrText xml:space="preserve"> PAGEREF _Toc193802952 \h </w:instrText>
            </w:r>
            <w:r w:rsidR="0099791B">
              <w:rPr>
                <w:noProof/>
                <w:webHidden/>
              </w:rPr>
            </w:r>
            <w:r w:rsidR="0099791B">
              <w:rPr>
                <w:noProof/>
                <w:webHidden/>
              </w:rPr>
              <w:fldChar w:fldCharType="separate"/>
            </w:r>
            <w:r w:rsidR="00F16BE7">
              <w:rPr>
                <w:noProof/>
                <w:webHidden/>
              </w:rPr>
              <w:t>8</w:t>
            </w:r>
            <w:r w:rsidR="0099791B">
              <w:rPr>
                <w:noProof/>
                <w:webHidden/>
              </w:rPr>
              <w:fldChar w:fldCharType="end"/>
            </w:r>
          </w:hyperlink>
        </w:p>
        <w:p w14:paraId="4D266EC4" w14:textId="31DA27DE" w:rsidR="0099791B" w:rsidRDefault="00760C44">
          <w:pPr>
            <w:pStyle w:val="TOC2"/>
            <w:rPr>
              <w:rFonts w:asciiTheme="minorHAnsi" w:eastAsiaTheme="minorEastAsia" w:hAnsiTheme="minorHAnsi" w:cstheme="minorBidi"/>
              <w:i w:val="0"/>
              <w:color w:val="auto"/>
              <w:sz w:val="22"/>
              <w:lang w:eastAsia="hr-HR"/>
            </w:rPr>
          </w:pPr>
          <w:hyperlink w:anchor="_Toc193802953" w:history="1">
            <w:r w:rsidR="0099791B" w:rsidRPr="0064339B">
              <w:rPr>
                <w:rStyle w:val="Hyperlink"/>
                <w:b/>
              </w:rPr>
              <w:t>3.1.</w:t>
            </w:r>
            <w:r w:rsidR="0099791B">
              <w:rPr>
                <w:rFonts w:asciiTheme="minorHAnsi" w:eastAsiaTheme="minorEastAsia" w:hAnsiTheme="minorHAnsi" w:cstheme="minorBidi"/>
                <w:i w:val="0"/>
                <w:color w:val="auto"/>
                <w:sz w:val="22"/>
                <w:lang w:eastAsia="hr-HR"/>
              </w:rPr>
              <w:tab/>
            </w:r>
            <w:r w:rsidR="0099791B" w:rsidRPr="0064339B">
              <w:rPr>
                <w:rStyle w:val="Hyperlink"/>
                <w:b/>
              </w:rPr>
              <w:t>Obrazloženje općeg dijela izvještaja o izvršenju financijskog plana</w:t>
            </w:r>
            <w:r w:rsidR="0099791B">
              <w:rPr>
                <w:webHidden/>
              </w:rPr>
              <w:tab/>
            </w:r>
            <w:r w:rsidR="0099791B">
              <w:rPr>
                <w:webHidden/>
              </w:rPr>
              <w:fldChar w:fldCharType="begin"/>
            </w:r>
            <w:r w:rsidR="0099791B">
              <w:rPr>
                <w:webHidden/>
              </w:rPr>
              <w:instrText xml:space="preserve"> PAGEREF _Toc193802953 \h </w:instrText>
            </w:r>
            <w:r w:rsidR="0099791B">
              <w:rPr>
                <w:webHidden/>
              </w:rPr>
            </w:r>
            <w:r w:rsidR="0099791B">
              <w:rPr>
                <w:webHidden/>
              </w:rPr>
              <w:fldChar w:fldCharType="separate"/>
            </w:r>
            <w:r w:rsidR="00F16BE7">
              <w:rPr>
                <w:webHidden/>
              </w:rPr>
              <w:t>8</w:t>
            </w:r>
            <w:r w:rsidR="0099791B">
              <w:rPr>
                <w:webHidden/>
              </w:rPr>
              <w:fldChar w:fldCharType="end"/>
            </w:r>
          </w:hyperlink>
        </w:p>
        <w:p w14:paraId="56743795" w14:textId="1E45CAA6" w:rsidR="0099791B" w:rsidRDefault="00760C44">
          <w:pPr>
            <w:pStyle w:val="TOC2"/>
            <w:rPr>
              <w:rFonts w:asciiTheme="minorHAnsi" w:eastAsiaTheme="minorEastAsia" w:hAnsiTheme="minorHAnsi" w:cstheme="minorBidi"/>
              <w:i w:val="0"/>
              <w:color w:val="auto"/>
              <w:sz w:val="22"/>
              <w:lang w:eastAsia="hr-HR"/>
            </w:rPr>
          </w:pPr>
          <w:hyperlink w:anchor="_Toc193802954" w:history="1">
            <w:r w:rsidR="0099791B" w:rsidRPr="0064339B">
              <w:rPr>
                <w:rStyle w:val="Hyperlink"/>
                <w:b/>
              </w:rPr>
              <w:t>3.2.</w:t>
            </w:r>
            <w:r w:rsidR="0099791B">
              <w:rPr>
                <w:rFonts w:asciiTheme="minorHAnsi" w:eastAsiaTheme="minorEastAsia" w:hAnsiTheme="minorHAnsi" w:cstheme="minorBidi"/>
                <w:i w:val="0"/>
                <w:color w:val="auto"/>
                <w:sz w:val="22"/>
                <w:lang w:eastAsia="hr-HR"/>
              </w:rPr>
              <w:tab/>
            </w:r>
            <w:r w:rsidR="0099791B" w:rsidRPr="0064339B">
              <w:rPr>
                <w:rStyle w:val="Hyperlink"/>
                <w:b/>
              </w:rPr>
              <w:t>Obrazloženje posebnog dijela izvještaja o izvršenju financijskog plana</w:t>
            </w:r>
            <w:r w:rsidR="0099791B">
              <w:rPr>
                <w:webHidden/>
              </w:rPr>
              <w:tab/>
            </w:r>
            <w:r w:rsidR="0099791B">
              <w:rPr>
                <w:webHidden/>
              </w:rPr>
              <w:fldChar w:fldCharType="begin"/>
            </w:r>
            <w:r w:rsidR="0099791B">
              <w:rPr>
                <w:webHidden/>
              </w:rPr>
              <w:instrText xml:space="preserve"> PAGEREF _Toc193802954 \h </w:instrText>
            </w:r>
            <w:r w:rsidR="0099791B">
              <w:rPr>
                <w:webHidden/>
              </w:rPr>
            </w:r>
            <w:r w:rsidR="0099791B">
              <w:rPr>
                <w:webHidden/>
              </w:rPr>
              <w:fldChar w:fldCharType="separate"/>
            </w:r>
            <w:r w:rsidR="00F16BE7">
              <w:rPr>
                <w:webHidden/>
              </w:rPr>
              <w:t>12</w:t>
            </w:r>
            <w:r w:rsidR="0099791B">
              <w:rPr>
                <w:webHidden/>
              </w:rPr>
              <w:fldChar w:fldCharType="end"/>
            </w:r>
          </w:hyperlink>
        </w:p>
        <w:p w14:paraId="43853BED" w14:textId="0DD42CC8" w:rsidR="0099791B" w:rsidRDefault="00760C44">
          <w:pPr>
            <w:pStyle w:val="TOC1"/>
            <w:tabs>
              <w:tab w:val="left" w:pos="440"/>
              <w:tab w:val="right" w:leader="dot" w:pos="10528"/>
            </w:tabs>
            <w:rPr>
              <w:rFonts w:asciiTheme="minorHAnsi" w:hAnsiTheme="minorHAnsi" w:cstheme="minorBidi"/>
              <w:b w:val="0"/>
              <w:noProof/>
              <w:sz w:val="22"/>
              <w:lang w:val="hr-HR" w:eastAsia="hr-HR"/>
            </w:rPr>
          </w:pPr>
          <w:hyperlink w:anchor="_Toc193802955" w:history="1">
            <w:r w:rsidR="0099791B" w:rsidRPr="0064339B">
              <w:rPr>
                <w:rStyle w:val="Hyperlink"/>
                <w:rFonts w:cstheme="minorHAnsi"/>
                <w:noProof/>
              </w:rPr>
              <w:t>4.</w:t>
            </w:r>
            <w:r w:rsidR="0099791B">
              <w:rPr>
                <w:rFonts w:asciiTheme="minorHAnsi" w:hAnsiTheme="minorHAnsi" w:cstheme="minorBidi"/>
                <w:b w:val="0"/>
                <w:noProof/>
                <w:sz w:val="22"/>
                <w:lang w:val="hr-HR" w:eastAsia="hr-HR"/>
              </w:rPr>
              <w:tab/>
            </w:r>
            <w:r w:rsidR="0099791B" w:rsidRPr="0064339B">
              <w:rPr>
                <w:rStyle w:val="Hyperlink"/>
                <w:rFonts w:cstheme="minorHAnsi"/>
                <w:noProof/>
              </w:rPr>
              <w:t>Posebni izvještaji</w:t>
            </w:r>
            <w:r w:rsidR="0099791B">
              <w:rPr>
                <w:noProof/>
                <w:webHidden/>
              </w:rPr>
              <w:tab/>
            </w:r>
            <w:r w:rsidR="0099791B">
              <w:rPr>
                <w:noProof/>
                <w:webHidden/>
              </w:rPr>
              <w:fldChar w:fldCharType="begin"/>
            </w:r>
            <w:r w:rsidR="0099791B">
              <w:rPr>
                <w:noProof/>
                <w:webHidden/>
              </w:rPr>
              <w:instrText xml:space="preserve"> PAGEREF _Toc193802955 \h </w:instrText>
            </w:r>
            <w:r w:rsidR="0099791B">
              <w:rPr>
                <w:noProof/>
                <w:webHidden/>
              </w:rPr>
            </w:r>
            <w:r w:rsidR="0099791B">
              <w:rPr>
                <w:noProof/>
                <w:webHidden/>
              </w:rPr>
              <w:fldChar w:fldCharType="separate"/>
            </w:r>
            <w:r w:rsidR="00F16BE7">
              <w:rPr>
                <w:noProof/>
                <w:webHidden/>
              </w:rPr>
              <w:t>19</w:t>
            </w:r>
            <w:r w:rsidR="0099791B">
              <w:rPr>
                <w:noProof/>
                <w:webHidden/>
              </w:rPr>
              <w:fldChar w:fldCharType="end"/>
            </w:r>
          </w:hyperlink>
        </w:p>
        <w:p w14:paraId="6958C30B" w14:textId="2582D720" w:rsidR="0099791B" w:rsidRDefault="00760C44">
          <w:pPr>
            <w:pStyle w:val="TOC2"/>
            <w:rPr>
              <w:rFonts w:asciiTheme="minorHAnsi" w:eastAsiaTheme="minorEastAsia" w:hAnsiTheme="minorHAnsi" w:cstheme="minorBidi"/>
              <w:i w:val="0"/>
              <w:color w:val="auto"/>
              <w:sz w:val="22"/>
              <w:lang w:eastAsia="hr-HR"/>
            </w:rPr>
          </w:pPr>
          <w:hyperlink w:anchor="_Toc193802956" w:history="1">
            <w:r w:rsidR="0099791B" w:rsidRPr="0064339B">
              <w:rPr>
                <w:rStyle w:val="Hyperlink"/>
                <w:b/>
              </w:rPr>
              <w:t>4.1.</w:t>
            </w:r>
            <w:r w:rsidR="0099791B">
              <w:rPr>
                <w:rFonts w:asciiTheme="minorHAnsi" w:eastAsiaTheme="minorEastAsia" w:hAnsiTheme="minorHAnsi" w:cstheme="minorBidi"/>
                <w:i w:val="0"/>
                <w:color w:val="auto"/>
                <w:sz w:val="22"/>
                <w:lang w:eastAsia="hr-HR"/>
              </w:rPr>
              <w:tab/>
            </w:r>
            <w:r w:rsidR="0099791B" w:rsidRPr="0064339B">
              <w:rPr>
                <w:rStyle w:val="Hyperlink"/>
                <w:b/>
              </w:rPr>
              <w:t>Izvještaj o zaduživanju na domaćem i stranom tržištu novca i kapitala</w:t>
            </w:r>
            <w:r w:rsidR="0099791B">
              <w:rPr>
                <w:webHidden/>
              </w:rPr>
              <w:tab/>
            </w:r>
            <w:r w:rsidR="0099791B">
              <w:rPr>
                <w:webHidden/>
              </w:rPr>
              <w:fldChar w:fldCharType="begin"/>
            </w:r>
            <w:r w:rsidR="0099791B">
              <w:rPr>
                <w:webHidden/>
              </w:rPr>
              <w:instrText xml:space="preserve"> PAGEREF _Toc193802956 \h </w:instrText>
            </w:r>
            <w:r w:rsidR="0099791B">
              <w:rPr>
                <w:webHidden/>
              </w:rPr>
            </w:r>
            <w:r w:rsidR="0099791B">
              <w:rPr>
                <w:webHidden/>
              </w:rPr>
              <w:fldChar w:fldCharType="separate"/>
            </w:r>
            <w:r w:rsidR="00F16BE7">
              <w:rPr>
                <w:webHidden/>
              </w:rPr>
              <w:t>19</w:t>
            </w:r>
            <w:r w:rsidR="0099791B">
              <w:rPr>
                <w:webHidden/>
              </w:rPr>
              <w:fldChar w:fldCharType="end"/>
            </w:r>
          </w:hyperlink>
        </w:p>
        <w:p w14:paraId="0D3F75EF" w14:textId="02703E72" w:rsidR="0099791B" w:rsidRDefault="00760C44">
          <w:pPr>
            <w:pStyle w:val="TOC2"/>
            <w:rPr>
              <w:rFonts w:asciiTheme="minorHAnsi" w:eastAsiaTheme="minorEastAsia" w:hAnsiTheme="minorHAnsi" w:cstheme="minorBidi"/>
              <w:i w:val="0"/>
              <w:color w:val="auto"/>
              <w:sz w:val="22"/>
              <w:lang w:eastAsia="hr-HR"/>
            </w:rPr>
          </w:pPr>
          <w:hyperlink w:anchor="_Toc193802957" w:history="1">
            <w:r w:rsidR="0099791B" w:rsidRPr="0064339B">
              <w:rPr>
                <w:rStyle w:val="Hyperlink"/>
                <w:b/>
              </w:rPr>
              <w:t>4.2.</w:t>
            </w:r>
            <w:r w:rsidR="0099791B">
              <w:rPr>
                <w:rFonts w:asciiTheme="minorHAnsi" w:eastAsiaTheme="minorEastAsia" w:hAnsiTheme="minorHAnsi" w:cstheme="minorBidi"/>
                <w:i w:val="0"/>
                <w:color w:val="auto"/>
                <w:sz w:val="22"/>
                <w:lang w:eastAsia="hr-HR"/>
              </w:rPr>
              <w:tab/>
            </w:r>
            <w:r w:rsidR="0099791B" w:rsidRPr="0064339B">
              <w:rPr>
                <w:rStyle w:val="Hyperlink"/>
                <w:b/>
              </w:rPr>
              <w:t>Izvještaj o korištenju sredstava fondova Europske unije</w:t>
            </w:r>
            <w:r w:rsidR="0099791B">
              <w:rPr>
                <w:webHidden/>
              </w:rPr>
              <w:tab/>
            </w:r>
            <w:r w:rsidR="0099791B">
              <w:rPr>
                <w:webHidden/>
              </w:rPr>
              <w:fldChar w:fldCharType="begin"/>
            </w:r>
            <w:r w:rsidR="0099791B">
              <w:rPr>
                <w:webHidden/>
              </w:rPr>
              <w:instrText xml:space="preserve"> PAGEREF _Toc193802957 \h </w:instrText>
            </w:r>
            <w:r w:rsidR="0099791B">
              <w:rPr>
                <w:webHidden/>
              </w:rPr>
            </w:r>
            <w:r w:rsidR="0099791B">
              <w:rPr>
                <w:webHidden/>
              </w:rPr>
              <w:fldChar w:fldCharType="separate"/>
            </w:r>
            <w:r w:rsidR="00F16BE7">
              <w:rPr>
                <w:webHidden/>
              </w:rPr>
              <w:t>19</w:t>
            </w:r>
            <w:r w:rsidR="0099791B">
              <w:rPr>
                <w:webHidden/>
              </w:rPr>
              <w:fldChar w:fldCharType="end"/>
            </w:r>
          </w:hyperlink>
        </w:p>
        <w:p w14:paraId="569C0BBE" w14:textId="67F0F105" w:rsidR="0099791B" w:rsidRDefault="00760C44">
          <w:pPr>
            <w:pStyle w:val="TOC2"/>
            <w:rPr>
              <w:rFonts w:asciiTheme="minorHAnsi" w:eastAsiaTheme="minorEastAsia" w:hAnsiTheme="minorHAnsi" w:cstheme="minorBidi"/>
              <w:i w:val="0"/>
              <w:color w:val="auto"/>
              <w:sz w:val="22"/>
              <w:lang w:eastAsia="hr-HR"/>
            </w:rPr>
          </w:pPr>
          <w:hyperlink w:anchor="_Toc193802958" w:history="1">
            <w:r w:rsidR="0099791B" w:rsidRPr="0064339B">
              <w:rPr>
                <w:rStyle w:val="Hyperlink"/>
                <w:b/>
              </w:rPr>
              <w:t>4.3.</w:t>
            </w:r>
            <w:r w:rsidR="0099791B">
              <w:rPr>
                <w:rFonts w:asciiTheme="minorHAnsi" w:eastAsiaTheme="minorEastAsia" w:hAnsiTheme="minorHAnsi" w:cstheme="minorBidi"/>
                <w:i w:val="0"/>
                <w:color w:val="auto"/>
                <w:sz w:val="22"/>
                <w:lang w:eastAsia="hr-HR"/>
              </w:rPr>
              <w:tab/>
            </w:r>
            <w:r w:rsidR="0099791B" w:rsidRPr="0064339B">
              <w:rPr>
                <w:rStyle w:val="Hyperlink"/>
                <w:b/>
              </w:rPr>
              <w:t>Izvještaj o danim zajmovima i potraživanjima po danim zajmovima</w:t>
            </w:r>
            <w:r w:rsidR="0099791B">
              <w:rPr>
                <w:webHidden/>
              </w:rPr>
              <w:tab/>
            </w:r>
            <w:r w:rsidR="0099791B">
              <w:rPr>
                <w:webHidden/>
              </w:rPr>
              <w:fldChar w:fldCharType="begin"/>
            </w:r>
            <w:r w:rsidR="0099791B">
              <w:rPr>
                <w:webHidden/>
              </w:rPr>
              <w:instrText xml:space="preserve"> PAGEREF _Toc193802958 \h </w:instrText>
            </w:r>
            <w:r w:rsidR="0099791B">
              <w:rPr>
                <w:webHidden/>
              </w:rPr>
            </w:r>
            <w:r w:rsidR="0099791B">
              <w:rPr>
                <w:webHidden/>
              </w:rPr>
              <w:fldChar w:fldCharType="separate"/>
            </w:r>
            <w:r w:rsidR="00F16BE7">
              <w:rPr>
                <w:webHidden/>
              </w:rPr>
              <w:t>19</w:t>
            </w:r>
            <w:r w:rsidR="0099791B">
              <w:rPr>
                <w:webHidden/>
              </w:rPr>
              <w:fldChar w:fldCharType="end"/>
            </w:r>
          </w:hyperlink>
        </w:p>
        <w:p w14:paraId="3B7B6186" w14:textId="464D6E7F" w:rsidR="0099791B" w:rsidRDefault="00760C44">
          <w:pPr>
            <w:pStyle w:val="TOC2"/>
            <w:rPr>
              <w:rFonts w:asciiTheme="minorHAnsi" w:eastAsiaTheme="minorEastAsia" w:hAnsiTheme="minorHAnsi" w:cstheme="minorBidi"/>
              <w:i w:val="0"/>
              <w:color w:val="auto"/>
              <w:sz w:val="22"/>
              <w:lang w:eastAsia="hr-HR"/>
            </w:rPr>
          </w:pPr>
          <w:hyperlink w:anchor="_Toc193802959" w:history="1">
            <w:r w:rsidR="0099791B" w:rsidRPr="0064339B">
              <w:rPr>
                <w:rStyle w:val="Hyperlink"/>
                <w:b/>
              </w:rPr>
              <w:t>4.4.</w:t>
            </w:r>
            <w:r w:rsidR="0099791B">
              <w:rPr>
                <w:rFonts w:asciiTheme="minorHAnsi" w:eastAsiaTheme="minorEastAsia" w:hAnsiTheme="minorHAnsi" w:cstheme="minorBidi"/>
                <w:i w:val="0"/>
                <w:color w:val="auto"/>
                <w:sz w:val="22"/>
                <w:lang w:eastAsia="hr-HR"/>
              </w:rPr>
              <w:tab/>
            </w:r>
            <w:r w:rsidR="0099791B" w:rsidRPr="0064339B">
              <w:rPr>
                <w:rStyle w:val="Hyperlink"/>
                <w:b/>
              </w:rPr>
              <w:t>Izvještaj o stanju potraživanja i dospjelih obveza te o stanju potencijalnih obveza po osnovi sudskih sporova</w:t>
            </w:r>
            <w:r w:rsidR="0099791B">
              <w:rPr>
                <w:webHidden/>
              </w:rPr>
              <w:tab/>
            </w:r>
            <w:r w:rsidR="0099791B">
              <w:rPr>
                <w:webHidden/>
              </w:rPr>
              <w:fldChar w:fldCharType="begin"/>
            </w:r>
            <w:r w:rsidR="0099791B">
              <w:rPr>
                <w:webHidden/>
              </w:rPr>
              <w:instrText xml:space="preserve"> PAGEREF _Toc193802959 \h </w:instrText>
            </w:r>
            <w:r w:rsidR="0099791B">
              <w:rPr>
                <w:webHidden/>
              </w:rPr>
            </w:r>
            <w:r w:rsidR="0099791B">
              <w:rPr>
                <w:webHidden/>
              </w:rPr>
              <w:fldChar w:fldCharType="separate"/>
            </w:r>
            <w:r w:rsidR="00F16BE7">
              <w:rPr>
                <w:webHidden/>
              </w:rPr>
              <w:t>19</w:t>
            </w:r>
            <w:r w:rsidR="0099791B">
              <w:rPr>
                <w:webHidden/>
              </w:rPr>
              <w:fldChar w:fldCharType="end"/>
            </w:r>
          </w:hyperlink>
        </w:p>
        <w:p w14:paraId="075921EF" w14:textId="2202EE6A" w:rsidR="0099791B" w:rsidRDefault="00760C44">
          <w:pPr>
            <w:pStyle w:val="TOC2"/>
            <w:rPr>
              <w:rFonts w:asciiTheme="minorHAnsi" w:eastAsiaTheme="minorEastAsia" w:hAnsiTheme="minorHAnsi" w:cstheme="minorBidi"/>
              <w:i w:val="0"/>
              <w:color w:val="auto"/>
              <w:sz w:val="22"/>
              <w:lang w:eastAsia="hr-HR"/>
            </w:rPr>
          </w:pPr>
          <w:hyperlink w:anchor="_Toc193802960" w:history="1">
            <w:r w:rsidR="0099791B" w:rsidRPr="0064339B">
              <w:rPr>
                <w:rStyle w:val="Hyperlink"/>
                <w:b/>
              </w:rPr>
              <w:t>4.5.</w:t>
            </w:r>
            <w:r w:rsidR="0099791B">
              <w:rPr>
                <w:rFonts w:asciiTheme="minorHAnsi" w:eastAsiaTheme="minorEastAsia" w:hAnsiTheme="minorHAnsi" w:cstheme="minorBidi"/>
                <w:i w:val="0"/>
                <w:color w:val="auto"/>
                <w:sz w:val="22"/>
                <w:lang w:eastAsia="hr-HR"/>
              </w:rPr>
              <w:tab/>
            </w:r>
            <w:r w:rsidR="0099791B" w:rsidRPr="0064339B">
              <w:rPr>
                <w:rStyle w:val="Hyperlink"/>
                <w:b/>
              </w:rPr>
              <w:t>Izvještaj o danim jamstvima i plaćanjima po protestiranim jamstvima</w:t>
            </w:r>
            <w:r w:rsidR="0099791B">
              <w:rPr>
                <w:webHidden/>
              </w:rPr>
              <w:tab/>
            </w:r>
            <w:r w:rsidR="0099791B">
              <w:rPr>
                <w:webHidden/>
              </w:rPr>
              <w:fldChar w:fldCharType="begin"/>
            </w:r>
            <w:r w:rsidR="0099791B">
              <w:rPr>
                <w:webHidden/>
              </w:rPr>
              <w:instrText xml:space="preserve"> PAGEREF _Toc193802960 \h </w:instrText>
            </w:r>
            <w:r w:rsidR="0099791B">
              <w:rPr>
                <w:webHidden/>
              </w:rPr>
            </w:r>
            <w:r w:rsidR="0099791B">
              <w:rPr>
                <w:webHidden/>
              </w:rPr>
              <w:fldChar w:fldCharType="separate"/>
            </w:r>
            <w:r w:rsidR="00F16BE7">
              <w:rPr>
                <w:webHidden/>
              </w:rPr>
              <w:t>22</w:t>
            </w:r>
            <w:r w:rsidR="0099791B">
              <w:rPr>
                <w:webHidden/>
              </w:rPr>
              <w:fldChar w:fldCharType="end"/>
            </w:r>
          </w:hyperlink>
        </w:p>
        <w:p w14:paraId="68940813" w14:textId="5C09C238" w:rsidR="001300E9" w:rsidRPr="004A6E08" w:rsidRDefault="001300E9">
          <w:pPr>
            <w:rPr>
              <w:rFonts w:cstheme="minorHAnsi"/>
            </w:rPr>
          </w:pPr>
          <w:r w:rsidRPr="004A6E08">
            <w:rPr>
              <w:rFonts w:cstheme="minorHAnsi"/>
              <w:b/>
              <w:bCs/>
              <w:noProof/>
            </w:rPr>
            <w:fldChar w:fldCharType="end"/>
          </w:r>
        </w:p>
      </w:sdtContent>
    </w:sdt>
    <w:p w14:paraId="1206A589" w14:textId="77777777" w:rsidR="00763ADB" w:rsidRPr="004A6E08" w:rsidRDefault="00763ADB" w:rsidP="001300E9">
      <w:pPr>
        <w:pStyle w:val="TOC1"/>
        <w:rPr>
          <w:rFonts w:asciiTheme="minorHAnsi" w:hAnsiTheme="minorHAnsi" w:cstheme="minorHAnsi"/>
          <w:sz w:val="22"/>
        </w:rPr>
      </w:pPr>
    </w:p>
    <w:p w14:paraId="24092A13" w14:textId="77777777" w:rsidR="00763ADB" w:rsidRPr="004A6E08" w:rsidRDefault="00763ADB" w:rsidP="00763ADB">
      <w:pPr>
        <w:rPr>
          <w:rFonts w:cstheme="minorHAnsi"/>
        </w:rPr>
      </w:pPr>
    </w:p>
    <w:p w14:paraId="0E9FE250" w14:textId="77777777" w:rsidR="00763ADB" w:rsidRPr="004A6E08" w:rsidRDefault="00763ADB" w:rsidP="00763ADB">
      <w:pPr>
        <w:rPr>
          <w:rFonts w:cstheme="minorHAnsi"/>
        </w:rPr>
      </w:pPr>
    </w:p>
    <w:p w14:paraId="26B9CE83" w14:textId="77777777" w:rsidR="00763ADB" w:rsidRPr="004A6E08" w:rsidRDefault="00763ADB" w:rsidP="00763ADB">
      <w:pPr>
        <w:rPr>
          <w:rFonts w:cstheme="minorHAnsi"/>
        </w:rPr>
      </w:pPr>
    </w:p>
    <w:p w14:paraId="41343AF3" w14:textId="4EFD0A27" w:rsidR="00763ADB" w:rsidRDefault="00763ADB" w:rsidP="00763ADB">
      <w:pPr>
        <w:rPr>
          <w:rFonts w:cstheme="minorHAnsi"/>
        </w:rPr>
      </w:pPr>
    </w:p>
    <w:p w14:paraId="5C7B640A" w14:textId="77777777" w:rsidR="00D8314A" w:rsidRPr="004A6E08" w:rsidRDefault="00D8314A" w:rsidP="00763ADB">
      <w:pPr>
        <w:rPr>
          <w:rFonts w:cstheme="minorHAnsi"/>
        </w:rPr>
      </w:pPr>
    </w:p>
    <w:p w14:paraId="29077F42" w14:textId="59B48708" w:rsidR="000A5337" w:rsidRPr="004A6E08" w:rsidRDefault="00C506B3" w:rsidP="00CE2557">
      <w:pPr>
        <w:rPr>
          <w:rFonts w:cstheme="minorHAnsi"/>
        </w:rPr>
      </w:pPr>
      <w:r>
        <w:rPr>
          <w:rFonts w:cstheme="minorHAnsi"/>
        </w:rPr>
        <w:br w:type="page"/>
      </w:r>
    </w:p>
    <w:p w14:paraId="1FA9C8C4" w14:textId="3AF05DBA" w:rsidR="008D413C" w:rsidRPr="004A6E08" w:rsidRDefault="006D5967" w:rsidP="000A5337">
      <w:pPr>
        <w:pStyle w:val="Heading1"/>
        <w:numPr>
          <w:ilvl w:val="0"/>
          <w:numId w:val="18"/>
        </w:numPr>
        <w:rPr>
          <w:rFonts w:asciiTheme="minorHAnsi" w:hAnsiTheme="minorHAnsi" w:cstheme="minorHAnsi"/>
          <w:color w:val="2E74B5" w:themeColor="accent1" w:themeShade="BF"/>
          <w:szCs w:val="24"/>
        </w:rPr>
      </w:pPr>
      <w:bookmarkStart w:id="0" w:name="_Toc193802940"/>
      <w:r w:rsidRPr="004A6E08">
        <w:rPr>
          <w:rFonts w:asciiTheme="minorHAnsi" w:hAnsiTheme="minorHAnsi" w:cstheme="minorHAnsi"/>
          <w:color w:val="2E74B5" w:themeColor="accent1" w:themeShade="BF"/>
          <w:szCs w:val="24"/>
        </w:rPr>
        <w:lastRenderedPageBreak/>
        <w:t>Opći dio</w:t>
      </w:r>
      <w:r w:rsidR="006C47F9" w:rsidRPr="004A6E08">
        <w:rPr>
          <w:rFonts w:asciiTheme="minorHAnsi" w:hAnsiTheme="minorHAnsi" w:cstheme="minorHAnsi"/>
          <w:color w:val="2E74B5" w:themeColor="accent1" w:themeShade="BF"/>
          <w:szCs w:val="24"/>
        </w:rPr>
        <w:t xml:space="preserve"> </w:t>
      </w:r>
      <w:r w:rsidRPr="004A6E08">
        <w:rPr>
          <w:rFonts w:asciiTheme="minorHAnsi" w:hAnsiTheme="minorHAnsi" w:cstheme="minorHAnsi"/>
          <w:color w:val="2E74B5" w:themeColor="accent1" w:themeShade="BF"/>
          <w:szCs w:val="24"/>
        </w:rPr>
        <w:t>godišnjeg izvještaja o izvršenju financijskog plana</w:t>
      </w:r>
      <w:bookmarkEnd w:id="0"/>
    </w:p>
    <w:p w14:paraId="4F87CD1C" w14:textId="77777777" w:rsidR="008D413C" w:rsidRPr="004A6E08" w:rsidRDefault="008D413C" w:rsidP="008D413C">
      <w:pPr>
        <w:rPr>
          <w:rFonts w:cstheme="minorHAnsi"/>
        </w:rPr>
      </w:pPr>
    </w:p>
    <w:p w14:paraId="21B45699" w14:textId="287E12DD" w:rsidR="00906F29" w:rsidRPr="00C506B3" w:rsidRDefault="00620B5D" w:rsidP="00906F29">
      <w:pPr>
        <w:pStyle w:val="Heading2"/>
        <w:numPr>
          <w:ilvl w:val="1"/>
          <w:numId w:val="18"/>
        </w:numPr>
        <w:spacing w:before="80" w:line="240" w:lineRule="auto"/>
        <w:rPr>
          <w:rFonts w:asciiTheme="minorHAnsi" w:hAnsiTheme="minorHAnsi" w:cstheme="minorHAnsi"/>
          <w:b/>
          <w:sz w:val="22"/>
          <w:szCs w:val="22"/>
          <w:lang w:eastAsia="hr-HR"/>
        </w:rPr>
      </w:pPr>
      <w:bookmarkStart w:id="1" w:name="_Toc161073783"/>
      <w:bookmarkStart w:id="2" w:name="_Toc193802941"/>
      <w:r w:rsidRPr="004A6E08">
        <w:rPr>
          <w:rFonts w:asciiTheme="minorHAnsi" w:hAnsiTheme="minorHAnsi" w:cstheme="minorHAnsi"/>
          <w:b/>
          <w:sz w:val="22"/>
          <w:szCs w:val="22"/>
          <w:lang w:eastAsia="hr-HR"/>
        </w:rPr>
        <w:t>Sažetak Računa prihoda i rashoda i Računa financiranja</w:t>
      </w:r>
      <w:bookmarkEnd w:id="1"/>
      <w:bookmarkEnd w:id="2"/>
    </w:p>
    <w:p w14:paraId="1E6AE2E2" w14:textId="0E2759BF" w:rsidR="001C5F1F" w:rsidRPr="004A6E08" w:rsidRDefault="00D8314A" w:rsidP="001C5F1F">
      <w:pPr>
        <w:pStyle w:val="Heading3"/>
        <w:numPr>
          <w:ilvl w:val="2"/>
          <w:numId w:val="18"/>
        </w:numPr>
        <w:rPr>
          <w:rFonts w:asciiTheme="minorHAnsi" w:hAnsiTheme="minorHAnsi" w:cstheme="minorHAnsi"/>
          <w:sz w:val="22"/>
          <w:szCs w:val="22"/>
          <w:lang w:eastAsia="hr-HR"/>
        </w:rPr>
      </w:pPr>
      <w:r>
        <w:rPr>
          <w:rFonts w:asciiTheme="minorHAnsi" w:hAnsiTheme="minorHAnsi" w:cstheme="minorHAnsi"/>
          <w:sz w:val="22"/>
          <w:szCs w:val="22"/>
          <w:lang w:eastAsia="hr-HR"/>
        </w:rPr>
        <w:t xml:space="preserve"> </w:t>
      </w:r>
      <w:bookmarkStart w:id="3" w:name="_Toc193802942"/>
      <w:r w:rsidR="001C5F1F" w:rsidRPr="004A6E08">
        <w:rPr>
          <w:rFonts w:asciiTheme="minorHAnsi" w:hAnsiTheme="minorHAnsi" w:cstheme="minorHAnsi"/>
          <w:sz w:val="22"/>
          <w:szCs w:val="22"/>
          <w:lang w:eastAsia="hr-HR"/>
        </w:rPr>
        <w:t xml:space="preserve">Sažetak </w:t>
      </w:r>
      <w:r>
        <w:rPr>
          <w:rFonts w:asciiTheme="minorHAnsi" w:hAnsiTheme="minorHAnsi" w:cstheme="minorHAnsi"/>
          <w:sz w:val="22"/>
          <w:szCs w:val="22"/>
          <w:lang w:eastAsia="hr-HR"/>
        </w:rPr>
        <w:t>r</w:t>
      </w:r>
      <w:r w:rsidR="001C5F1F" w:rsidRPr="004A6E08">
        <w:rPr>
          <w:rFonts w:asciiTheme="minorHAnsi" w:hAnsiTheme="minorHAnsi" w:cstheme="minorHAnsi"/>
          <w:sz w:val="22"/>
          <w:szCs w:val="22"/>
          <w:lang w:eastAsia="hr-HR"/>
        </w:rPr>
        <w:t>ačuna prihoda i rashoda</w:t>
      </w:r>
      <w:bookmarkEnd w:id="3"/>
    </w:p>
    <w:p w14:paraId="1E1C2286" w14:textId="77777777" w:rsidR="004A6E08" w:rsidRPr="004A6E08" w:rsidRDefault="004A6E08" w:rsidP="004A6E08">
      <w:pPr>
        <w:rPr>
          <w:rFonts w:cstheme="minorHAnsi"/>
          <w:lang w:eastAsia="hr-HR"/>
        </w:rPr>
      </w:pPr>
    </w:p>
    <w:p w14:paraId="2218493D" w14:textId="5A69DB87" w:rsidR="001300E9" w:rsidRPr="004A6E08" w:rsidRDefault="00A36AE0" w:rsidP="002C53BA">
      <w:pPr>
        <w:rPr>
          <w:rFonts w:cstheme="minorHAnsi"/>
          <w:lang w:eastAsia="hr-HR"/>
        </w:rPr>
      </w:pPr>
      <w:r w:rsidRPr="00A36AE0">
        <w:rPr>
          <w:rFonts w:cstheme="minorHAnsi"/>
          <w:noProof/>
          <w:lang w:eastAsia="hr-HR"/>
        </w:rPr>
        <w:drawing>
          <wp:inline distT="0" distB="0" distL="0" distR="0" wp14:anchorId="069CC7C7" wp14:editId="095B830E">
            <wp:extent cx="6691630" cy="9594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1630" cy="959456"/>
                    </a:xfrm>
                    <a:prstGeom prst="rect">
                      <a:avLst/>
                    </a:prstGeom>
                    <a:noFill/>
                    <a:ln>
                      <a:noFill/>
                    </a:ln>
                  </pic:spPr>
                </pic:pic>
              </a:graphicData>
            </a:graphic>
          </wp:inline>
        </w:drawing>
      </w:r>
    </w:p>
    <w:p w14:paraId="59ACCE1E" w14:textId="6F23E5C9" w:rsidR="001C5F1F" w:rsidRPr="004A6E08" w:rsidRDefault="00D8314A" w:rsidP="001C5F1F">
      <w:pPr>
        <w:pStyle w:val="Heading3"/>
        <w:numPr>
          <w:ilvl w:val="2"/>
          <w:numId w:val="18"/>
        </w:numPr>
        <w:rPr>
          <w:rFonts w:asciiTheme="minorHAnsi" w:hAnsiTheme="minorHAnsi" w:cstheme="minorHAnsi"/>
          <w:sz w:val="22"/>
          <w:szCs w:val="22"/>
        </w:rPr>
      </w:pPr>
      <w:r>
        <w:rPr>
          <w:rFonts w:asciiTheme="minorHAnsi" w:hAnsiTheme="minorHAnsi" w:cstheme="minorHAnsi"/>
          <w:sz w:val="22"/>
          <w:szCs w:val="22"/>
        </w:rPr>
        <w:t xml:space="preserve"> </w:t>
      </w:r>
      <w:bookmarkStart w:id="4" w:name="_Toc193802943"/>
      <w:r>
        <w:rPr>
          <w:rFonts w:asciiTheme="minorHAnsi" w:hAnsiTheme="minorHAnsi" w:cstheme="minorHAnsi"/>
          <w:sz w:val="22"/>
          <w:szCs w:val="22"/>
        </w:rPr>
        <w:t>Sažetak r</w:t>
      </w:r>
      <w:r w:rsidR="001C5F1F" w:rsidRPr="004A6E08">
        <w:rPr>
          <w:rFonts w:asciiTheme="minorHAnsi" w:hAnsiTheme="minorHAnsi" w:cstheme="minorHAnsi"/>
          <w:sz w:val="22"/>
          <w:szCs w:val="22"/>
        </w:rPr>
        <w:t>ačuna financiranja</w:t>
      </w:r>
      <w:bookmarkEnd w:id="4"/>
    </w:p>
    <w:p w14:paraId="4FE2C12D" w14:textId="77777777" w:rsidR="00FD14B4" w:rsidRPr="004A6E08" w:rsidRDefault="00FD14B4" w:rsidP="00FD14B4">
      <w:pPr>
        <w:rPr>
          <w:rFonts w:cstheme="minorHAnsi"/>
        </w:rPr>
      </w:pPr>
    </w:p>
    <w:p w14:paraId="596CE33F" w14:textId="69F5AEC4" w:rsidR="001C5F1F" w:rsidRDefault="00A36AE0" w:rsidP="008D413C">
      <w:pPr>
        <w:rPr>
          <w:rFonts w:cstheme="minorHAnsi"/>
        </w:rPr>
      </w:pPr>
      <w:r w:rsidRPr="00A36AE0">
        <w:rPr>
          <w:rFonts w:cstheme="minorHAnsi"/>
          <w:noProof/>
          <w:lang w:eastAsia="hr-HR"/>
        </w:rPr>
        <w:drawing>
          <wp:inline distT="0" distB="0" distL="0" distR="0" wp14:anchorId="50D55802" wp14:editId="3245C8A4">
            <wp:extent cx="6691630" cy="96764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1630" cy="967642"/>
                    </a:xfrm>
                    <a:prstGeom prst="rect">
                      <a:avLst/>
                    </a:prstGeom>
                    <a:noFill/>
                    <a:ln>
                      <a:noFill/>
                    </a:ln>
                  </pic:spPr>
                </pic:pic>
              </a:graphicData>
            </a:graphic>
          </wp:inline>
        </w:drawing>
      </w:r>
    </w:p>
    <w:p w14:paraId="6DFE4356" w14:textId="77777777" w:rsidR="00C506B3" w:rsidRPr="004A6E08" w:rsidRDefault="00C506B3" w:rsidP="008D413C">
      <w:pPr>
        <w:rPr>
          <w:rFonts w:cstheme="minorHAnsi"/>
        </w:rPr>
      </w:pPr>
    </w:p>
    <w:p w14:paraId="2FB409E2" w14:textId="3FE54E70" w:rsidR="00C506B3" w:rsidRPr="00C506B3" w:rsidRDefault="00B83364" w:rsidP="00C506B3">
      <w:pPr>
        <w:pStyle w:val="Heading2"/>
        <w:numPr>
          <w:ilvl w:val="1"/>
          <w:numId w:val="18"/>
        </w:numPr>
        <w:rPr>
          <w:rFonts w:asciiTheme="minorHAnsi" w:hAnsiTheme="minorHAnsi" w:cstheme="minorHAnsi"/>
          <w:b/>
          <w:sz w:val="22"/>
          <w:szCs w:val="22"/>
        </w:rPr>
      </w:pPr>
      <w:bookmarkStart w:id="5" w:name="_Toc193802944"/>
      <w:r w:rsidRPr="004A6E08">
        <w:rPr>
          <w:rFonts w:asciiTheme="minorHAnsi" w:hAnsiTheme="minorHAnsi" w:cstheme="minorHAnsi"/>
          <w:b/>
          <w:sz w:val="22"/>
          <w:szCs w:val="22"/>
        </w:rPr>
        <w:t>Račun prihoda i rashoda</w:t>
      </w:r>
      <w:bookmarkEnd w:id="5"/>
    </w:p>
    <w:p w14:paraId="381F1092" w14:textId="11BA6867" w:rsidR="001C5F1F" w:rsidRDefault="00D8314A" w:rsidP="001C5F1F">
      <w:pPr>
        <w:pStyle w:val="Heading3"/>
        <w:numPr>
          <w:ilvl w:val="2"/>
          <w:numId w:val="18"/>
        </w:numPr>
        <w:rPr>
          <w:rFonts w:asciiTheme="minorHAnsi" w:hAnsiTheme="minorHAnsi" w:cstheme="minorHAnsi"/>
          <w:sz w:val="22"/>
          <w:szCs w:val="22"/>
        </w:rPr>
      </w:pPr>
      <w:r>
        <w:rPr>
          <w:rFonts w:asciiTheme="minorHAnsi" w:hAnsiTheme="minorHAnsi" w:cstheme="minorHAnsi"/>
          <w:sz w:val="22"/>
          <w:szCs w:val="22"/>
        </w:rPr>
        <w:t xml:space="preserve"> </w:t>
      </w:r>
      <w:bookmarkStart w:id="6" w:name="_Toc193802945"/>
      <w:r w:rsidR="001C5F1F" w:rsidRPr="004A6E08">
        <w:rPr>
          <w:rFonts w:asciiTheme="minorHAnsi" w:hAnsiTheme="minorHAnsi" w:cstheme="minorHAnsi"/>
          <w:sz w:val="22"/>
          <w:szCs w:val="22"/>
        </w:rPr>
        <w:t>Izvještaj o prihodima i rashodima prema ekonomskoj klasifikaciji</w:t>
      </w:r>
      <w:bookmarkEnd w:id="6"/>
    </w:p>
    <w:p w14:paraId="3743F9F5" w14:textId="77777777" w:rsidR="00E7356F" w:rsidRPr="00E7356F" w:rsidRDefault="00E7356F" w:rsidP="00E7356F"/>
    <w:p w14:paraId="6922EE08" w14:textId="1886ECC2" w:rsidR="00C506B3" w:rsidRPr="00C506B3" w:rsidRDefault="00E7356F" w:rsidP="00C506B3">
      <w:r w:rsidRPr="00E7356F">
        <w:rPr>
          <w:noProof/>
          <w:lang w:eastAsia="hr-HR"/>
        </w:rPr>
        <w:drawing>
          <wp:inline distT="0" distB="0" distL="0" distR="0" wp14:anchorId="36FE0521" wp14:editId="42C88290">
            <wp:extent cx="6691630" cy="253066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1630" cy="2530667"/>
                    </a:xfrm>
                    <a:prstGeom prst="rect">
                      <a:avLst/>
                    </a:prstGeom>
                    <a:noFill/>
                    <a:ln>
                      <a:noFill/>
                    </a:ln>
                  </pic:spPr>
                </pic:pic>
              </a:graphicData>
            </a:graphic>
          </wp:inline>
        </w:drawing>
      </w:r>
    </w:p>
    <w:p w14:paraId="74EB9294" w14:textId="33423754" w:rsidR="00D0437F" w:rsidRDefault="00D0437F">
      <w:pPr>
        <w:rPr>
          <w:rFonts w:cstheme="minorHAnsi"/>
        </w:rPr>
      </w:pPr>
      <w:r>
        <w:rPr>
          <w:rFonts w:cstheme="minorHAnsi"/>
        </w:rPr>
        <w:br w:type="page"/>
      </w:r>
    </w:p>
    <w:p w14:paraId="0D28B096" w14:textId="76E8424D" w:rsidR="001C5F1F" w:rsidRPr="004A6E08" w:rsidRDefault="00504D9D" w:rsidP="001C5F1F">
      <w:pPr>
        <w:rPr>
          <w:rFonts w:cstheme="minorHAnsi"/>
        </w:rPr>
      </w:pPr>
      <w:r w:rsidRPr="00504D9D">
        <w:rPr>
          <w:noProof/>
          <w:lang w:eastAsia="hr-HR"/>
        </w:rPr>
        <w:lastRenderedPageBreak/>
        <w:drawing>
          <wp:inline distT="0" distB="0" distL="0" distR="0" wp14:anchorId="77BABFCA" wp14:editId="074A27FA">
            <wp:extent cx="6691630" cy="72759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1630" cy="7275981"/>
                    </a:xfrm>
                    <a:prstGeom prst="rect">
                      <a:avLst/>
                    </a:prstGeom>
                    <a:noFill/>
                    <a:ln>
                      <a:noFill/>
                    </a:ln>
                  </pic:spPr>
                </pic:pic>
              </a:graphicData>
            </a:graphic>
          </wp:inline>
        </w:drawing>
      </w:r>
    </w:p>
    <w:p w14:paraId="4C29DDEF" w14:textId="48E7AADB" w:rsidR="00906F29" w:rsidRPr="004A6E08" w:rsidRDefault="00C506B3" w:rsidP="001300E9">
      <w:pPr>
        <w:rPr>
          <w:rFonts w:cstheme="minorHAnsi"/>
          <w:lang w:eastAsia="hr-HR"/>
        </w:rPr>
      </w:pPr>
      <w:r>
        <w:rPr>
          <w:rFonts w:cstheme="minorHAnsi"/>
          <w:lang w:eastAsia="hr-HR"/>
        </w:rPr>
        <w:br w:type="page"/>
      </w:r>
    </w:p>
    <w:p w14:paraId="003CF098" w14:textId="10C822FB" w:rsidR="001C5F1F" w:rsidRPr="004A6E08" w:rsidRDefault="00D8314A" w:rsidP="001C5F1F">
      <w:pPr>
        <w:pStyle w:val="Heading3"/>
        <w:numPr>
          <w:ilvl w:val="2"/>
          <w:numId w:val="18"/>
        </w:numPr>
        <w:rPr>
          <w:rFonts w:asciiTheme="minorHAnsi" w:hAnsiTheme="minorHAnsi" w:cstheme="minorHAnsi"/>
          <w:sz w:val="22"/>
          <w:szCs w:val="22"/>
          <w:lang w:eastAsia="hr-HR"/>
        </w:rPr>
      </w:pPr>
      <w:r>
        <w:rPr>
          <w:rFonts w:asciiTheme="minorHAnsi" w:hAnsiTheme="minorHAnsi" w:cstheme="minorHAnsi"/>
          <w:sz w:val="22"/>
          <w:szCs w:val="22"/>
          <w:lang w:eastAsia="hr-HR"/>
        </w:rPr>
        <w:lastRenderedPageBreak/>
        <w:t xml:space="preserve"> </w:t>
      </w:r>
      <w:bookmarkStart w:id="7" w:name="_Toc193802946"/>
      <w:r w:rsidR="001C5F1F" w:rsidRPr="004A6E08">
        <w:rPr>
          <w:rFonts w:asciiTheme="minorHAnsi" w:hAnsiTheme="minorHAnsi" w:cstheme="minorHAnsi"/>
          <w:sz w:val="22"/>
          <w:szCs w:val="22"/>
          <w:lang w:eastAsia="hr-HR"/>
        </w:rPr>
        <w:t>Iz</w:t>
      </w:r>
      <w:r>
        <w:rPr>
          <w:rFonts w:asciiTheme="minorHAnsi" w:hAnsiTheme="minorHAnsi" w:cstheme="minorHAnsi"/>
          <w:sz w:val="22"/>
          <w:szCs w:val="22"/>
          <w:lang w:eastAsia="hr-HR"/>
        </w:rPr>
        <w:t>v</w:t>
      </w:r>
      <w:r w:rsidR="001C5F1F" w:rsidRPr="004A6E08">
        <w:rPr>
          <w:rFonts w:asciiTheme="minorHAnsi" w:hAnsiTheme="minorHAnsi" w:cstheme="minorHAnsi"/>
          <w:sz w:val="22"/>
          <w:szCs w:val="22"/>
          <w:lang w:eastAsia="hr-HR"/>
        </w:rPr>
        <w:t>ještaj o prihodima i rashodima prema izvorima financiranja</w:t>
      </w:r>
      <w:bookmarkEnd w:id="7"/>
    </w:p>
    <w:p w14:paraId="3CE6B183" w14:textId="77777777" w:rsidR="001C5F1F" w:rsidRPr="004A6E08" w:rsidRDefault="001C5F1F" w:rsidP="001C5F1F">
      <w:pPr>
        <w:rPr>
          <w:rFonts w:cstheme="minorHAnsi"/>
          <w:lang w:eastAsia="hr-HR"/>
        </w:rPr>
      </w:pPr>
    </w:p>
    <w:p w14:paraId="7934D491" w14:textId="30AD8E9A" w:rsidR="001C5F1F" w:rsidRPr="004A6E08" w:rsidRDefault="00A36AE0" w:rsidP="001C5F1F">
      <w:pPr>
        <w:rPr>
          <w:rFonts w:cstheme="minorHAnsi"/>
          <w:lang w:eastAsia="hr-HR"/>
        </w:rPr>
      </w:pPr>
      <w:r w:rsidRPr="00A36AE0">
        <w:rPr>
          <w:rFonts w:cstheme="minorHAnsi"/>
          <w:noProof/>
          <w:lang w:eastAsia="hr-HR"/>
        </w:rPr>
        <w:drawing>
          <wp:inline distT="0" distB="0" distL="0" distR="0" wp14:anchorId="30982F9D" wp14:editId="10618CD1">
            <wp:extent cx="6691630" cy="262202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1630" cy="2622025"/>
                    </a:xfrm>
                    <a:prstGeom prst="rect">
                      <a:avLst/>
                    </a:prstGeom>
                    <a:noFill/>
                    <a:ln>
                      <a:noFill/>
                    </a:ln>
                  </pic:spPr>
                </pic:pic>
              </a:graphicData>
            </a:graphic>
          </wp:inline>
        </w:drawing>
      </w:r>
    </w:p>
    <w:p w14:paraId="4FD7CD06" w14:textId="0EDA12E9" w:rsidR="004A6E08" w:rsidRPr="004A6E08" w:rsidRDefault="004A6E08" w:rsidP="001300E9">
      <w:pPr>
        <w:rPr>
          <w:rFonts w:cstheme="minorHAnsi"/>
        </w:rPr>
      </w:pPr>
    </w:p>
    <w:p w14:paraId="4F607C24" w14:textId="0B74AE76" w:rsidR="00BB0AC6" w:rsidRPr="004A6E08" w:rsidRDefault="004A6E08" w:rsidP="00620B5D">
      <w:pPr>
        <w:pStyle w:val="Heading3"/>
        <w:numPr>
          <w:ilvl w:val="2"/>
          <w:numId w:val="18"/>
        </w:numPr>
        <w:rPr>
          <w:rFonts w:asciiTheme="minorHAnsi" w:hAnsiTheme="minorHAnsi" w:cstheme="minorHAnsi"/>
          <w:sz w:val="22"/>
          <w:szCs w:val="22"/>
        </w:rPr>
      </w:pPr>
      <w:r>
        <w:rPr>
          <w:rFonts w:asciiTheme="minorHAnsi" w:hAnsiTheme="minorHAnsi" w:cstheme="minorHAnsi"/>
          <w:sz w:val="22"/>
          <w:szCs w:val="22"/>
        </w:rPr>
        <w:t xml:space="preserve"> </w:t>
      </w:r>
      <w:bookmarkStart w:id="8" w:name="_Toc193802947"/>
      <w:r w:rsidR="00620B5D" w:rsidRPr="004A6E08">
        <w:rPr>
          <w:rFonts w:asciiTheme="minorHAnsi" w:hAnsiTheme="minorHAnsi" w:cstheme="minorHAnsi"/>
          <w:sz w:val="22"/>
          <w:szCs w:val="22"/>
        </w:rPr>
        <w:t>Izvještaj o r</w:t>
      </w:r>
      <w:r w:rsidR="001B20CE" w:rsidRPr="004A6E08">
        <w:rPr>
          <w:rFonts w:asciiTheme="minorHAnsi" w:hAnsiTheme="minorHAnsi" w:cstheme="minorHAnsi"/>
          <w:sz w:val="22"/>
          <w:szCs w:val="22"/>
        </w:rPr>
        <w:t>ashodi</w:t>
      </w:r>
      <w:r w:rsidR="00620B5D" w:rsidRPr="004A6E08">
        <w:rPr>
          <w:rFonts w:asciiTheme="minorHAnsi" w:hAnsiTheme="minorHAnsi" w:cstheme="minorHAnsi"/>
          <w:sz w:val="22"/>
          <w:szCs w:val="22"/>
        </w:rPr>
        <w:t>ma</w:t>
      </w:r>
      <w:r w:rsidR="001B20CE" w:rsidRPr="004A6E08">
        <w:rPr>
          <w:rFonts w:asciiTheme="minorHAnsi" w:hAnsiTheme="minorHAnsi" w:cstheme="minorHAnsi"/>
          <w:sz w:val="22"/>
          <w:szCs w:val="22"/>
        </w:rPr>
        <w:t xml:space="preserve"> prema funkcijskoj klasifikaciji</w:t>
      </w:r>
      <w:bookmarkEnd w:id="8"/>
    </w:p>
    <w:p w14:paraId="43874333" w14:textId="77777777" w:rsidR="001B20CE" w:rsidRPr="004A6E08" w:rsidRDefault="001B20CE" w:rsidP="001B20CE">
      <w:pPr>
        <w:rPr>
          <w:rFonts w:cstheme="minorHAnsi"/>
        </w:rPr>
      </w:pPr>
    </w:p>
    <w:p w14:paraId="3729D85D" w14:textId="44F26612" w:rsidR="00BB0AC6" w:rsidRPr="004A6E08" w:rsidRDefault="00D104E6" w:rsidP="008F28C7">
      <w:pPr>
        <w:rPr>
          <w:rFonts w:cstheme="minorHAnsi"/>
        </w:rPr>
      </w:pPr>
      <w:r w:rsidRPr="00D104E6">
        <w:rPr>
          <w:rFonts w:cstheme="minorHAnsi"/>
          <w:noProof/>
          <w:lang w:eastAsia="hr-HR"/>
        </w:rPr>
        <w:drawing>
          <wp:inline distT="0" distB="0" distL="0" distR="0" wp14:anchorId="1154285B" wp14:editId="05582BAE">
            <wp:extent cx="6691630" cy="7303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91630" cy="730343"/>
                    </a:xfrm>
                    <a:prstGeom prst="rect">
                      <a:avLst/>
                    </a:prstGeom>
                    <a:noFill/>
                    <a:ln>
                      <a:noFill/>
                    </a:ln>
                  </pic:spPr>
                </pic:pic>
              </a:graphicData>
            </a:graphic>
          </wp:inline>
        </w:drawing>
      </w:r>
    </w:p>
    <w:p w14:paraId="67C4C7D4" w14:textId="3FE591FE" w:rsidR="007E0F13" w:rsidRPr="004A6E08" w:rsidRDefault="007E0F13" w:rsidP="008F28C7">
      <w:pPr>
        <w:rPr>
          <w:rFonts w:cstheme="minorHAnsi"/>
        </w:rPr>
      </w:pPr>
    </w:p>
    <w:p w14:paraId="5BA5F949" w14:textId="5337807C" w:rsidR="00906F29" w:rsidRPr="00C506B3" w:rsidRDefault="008132E2" w:rsidP="00906F29">
      <w:pPr>
        <w:pStyle w:val="Heading2"/>
        <w:numPr>
          <w:ilvl w:val="1"/>
          <w:numId w:val="18"/>
        </w:numPr>
        <w:rPr>
          <w:rFonts w:asciiTheme="minorHAnsi" w:hAnsiTheme="minorHAnsi" w:cstheme="minorHAnsi"/>
          <w:b/>
          <w:sz w:val="22"/>
          <w:szCs w:val="22"/>
        </w:rPr>
      </w:pPr>
      <w:bookmarkStart w:id="9" w:name="_Toc193802948"/>
      <w:r w:rsidRPr="004A6E08">
        <w:rPr>
          <w:rFonts w:asciiTheme="minorHAnsi" w:hAnsiTheme="minorHAnsi" w:cstheme="minorHAnsi"/>
          <w:b/>
          <w:sz w:val="22"/>
          <w:szCs w:val="22"/>
        </w:rPr>
        <w:t>Račun financiranja</w:t>
      </w:r>
      <w:bookmarkEnd w:id="9"/>
    </w:p>
    <w:p w14:paraId="0959449B" w14:textId="703556ED" w:rsidR="00906F29" w:rsidRDefault="00D8314A" w:rsidP="00906F29">
      <w:pPr>
        <w:pStyle w:val="Heading3"/>
        <w:numPr>
          <w:ilvl w:val="2"/>
          <w:numId w:val="18"/>
        </w:numPr>
        <w:rPr>
          <w:rFonts w:asciiTheme="minorHAnsi" w:hAnsiTheme="minorHAnsi" w:cstheme="minorHAnsi"/>
          <w:sz w:val="22"/>
          <w:szCs w:val="22"/>
        </w:rPr>
      </w:pPr>
      <w:r>
        <w:rPr>
          <w:rFonts w:asciiTheme="minorHAnsi" w:hAnsiTheme="minorHAnsi" w:cstheme="minorHAnsi"/>
          <w:sz w:val="22"/>
          <w:szCs w:val="22"/>
        </w:rPr>
        <w:t xml:space="preserve"> </w:t>
      </w:r>
      <w:bookmarkStart w:id="10" w:name="_Toc193802949"/>
      <w:r w:rsidR="00906F29" w:rsidRPr="004A6E08">
        <w:rPr>
          <w:rFonts w:asciiTheme="minorHAnsi" w:hAnsiTheme="minorHAnsi" w:cstheme="minorHAnsi"/>
          <w:sz w:val="22"/>
          <w:szCs w:val="22"/>
        </w:rPr>
        <w:t>Izvještaj računa financiranja prema ekonomskoj klasifikaciji</w:t>
      </w:r>
      <w:bookmarkEnd w:id="10"/>
    </w:p>
    <w:p w14:paraId="4954B32A" w14:textId="433828A7" w:rsidR="00C506B3" w:rsidRDefault="00C506B3" w:rsidP="00C506B3"/>
    <w:p w14:paraId="3BAD4877" w14:textId="37FBF003" w:rsidR="00D104E6" w:rsidRPr="00EB0C10" w:rsidRDefault="00313AF6" w:rsidP="008F28C7">
      <w:r w:rsidRPr="00313AF6">
        <w:rPr>
          <w:noProof/>
          <w:lang w:eastAsia="hr-HR"/>
        </w:rPr>
        <w:drawing>
          <wp:inline distT="0" distB="0" distL="0" distR="0" wp14:anchorId="45D60521" wp14:editId="37F94385">
            <wp:extent cx="6691630" cy="6257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1630" cy="625706"/>
                    </a:xfrm>
                    <a:prstGeom prst="rect">
                      <a:avLst/>
                    </a:prstGeom>
                    <a:noFill/>
                    <a:ln>
                      <a:noFill/>
                    </a:ln>
                  </pic:spPr>
                </pic:pic>
              </a:graphicData>
            </a:graphic>
          </wp:inline>
        </w:drawing>
      </w:r>
    </w:p>
    <w:p w14:paraId="4C8A1AAD" w14:textId="22EE4A48" w:rsidR="00D104E6" w:rsidRDefault="00D104E6" w:rsidP="008F28C7">
      <w:pPr>
        <w:rPr>
          <w:rFonts w:cstheme="minorHAnsi"/>
        </w:rPr>
      </w:pPr>
    </w:p>
    <w:p w14:paraId="6B91F181" w14:textId="2FED3909" w:rsidR="00D104E6" w:rsidRDefault="00D104E6" w:rsidP="00D0437F">
      <w:pPr>
        <w:pStyle w:val="Heading3"/>
        <w:numPr>
          <w:ilvl w:val="2"/>
          <w:numId w:val="18"/>
        </w:numPr>
        <w:rPr>
          <w:rFonts w:asciiTheme="minorHAnsi" w:hAnsiTheme="minorHAnsi" w:cstheme="minorHAnsi"/>
          <w:sz w:val="22"/>
          <w:szCs w:val="22"/>
        </w:rPr>
      </w:pPr>
      <w:bookmarkStart w:id="11" w:name="_Toc193802950"/>
      <w:r w:rsidRPr="004A6E08">
        <w:rPr>
          <w:rFonts w:asciiTheme="minorHAnsi" w:hAnsiTheme="minorHAnsi" w:cstheme="minorHAnsi"/>
          <w:sz w:val="22"/>
          <w:szCs w:val="22"/>
        </w:rPr>
        <w:t>Izvještaj računa financiranja prema izvorima financiranja</w:t>
      </w:r>
      <w:bookmarkEnd w:id="11"/>
    </w:p>
    <w:p w14:paraId="58EAC3A5" w14:textId="77777777" w:rsidR="00D104E6" w:rsidRPr="00C506B3" w:rsidRDefault="00D104E6" w:rsidP="00D104E6"/>
    <w:p w14:paraId="41606C6E" w14:textId="77777777" w:rsidR="00D104E6" w:rsidRPr="00C506B3" w:rsidRDefault="00D104E6" w:rsidP="00D104E6">
      <w:r w:rsidRPr="00D104E6">
        <w:rPr>
          <w:noProof/>
          <w:lang w:eastAsia="hr-HR"/>
        </w:rPr>
        <w:drawing>
          <wp:inline distT="0" distB="0" distL="0" distR="0" wp14:anchorId="66A3257F" wp14:editId="1BE275F8">
            <wp:extent cx="6691630" cy="5385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1630" cy="538502"/>
                    </a:xfrm>
                    <a:prstGeom prst="rect">
                      <a:avLst/>
                    </a:prstGeom>
                    <a:noFill/>
                    <a:ln>
                      <a:noFill/>
                    </a:ln>
                  </pic:spPr>
                </pic:pic>
              </a:graphicData>
            </a:graphic>
          </wp:inline>
        </w:drawing>
      </w:r>
    </w:p>
    <w:p w14:paraId="6024CDC1" w14:textId="3AF81A41" w:rsidR="00297B3B" w:rsidRPr="004A6E08" w:rsidRDefault="00D0437F" w:rsidP="008F28C7">
      <w:pPr>
        <w:rPr>
          <w:rFonts w:cstheme="minorHAnsi"/>
          <w:noProof/>
          <w:lang w:eastAsia="hr-HR"/>
        </w:rPr>
      </w:pPr>
      <w:r>
        <w:rPr>
          <w:rFonts w:cstheme="minorHAnsi"/>
          <w:noProof/>
          <w:lang w:eastAsia="hr-HR"/>
        </w:rPr>
        <w:br w:type="page"/>
      </w:r>
    </w:p>
    <w:p w14:paraId="3012BB8B" w14:textId="2E6F8E73" w:rsidR="00297B3B" w:rsidRDefault="00B83364" w:rsidP="00297B3B">
      <w:pPr>
        <w:pStyle w:val="Heading1"/>
        <w:numPr>
          <w:ilvl w:val="0"/>
          <w:numId w:val="25"/>
        </w:numPr>
        <w:rPr>
          <w:rFonts w:asciiTheme="minorHAnsi" w:hAnsiTheme="minorHAnsi" w:cstheme="minorHAnsi"/>
          <w:color w:val="2E74B5" w:themeColor="accent1" w:themeShade="BF"/>
          <w:szCs w:val="24"/>
        </w:rPr>
      </w:pPr>
      <w:bookmarkStart w:id="12" w:name="_Toc193802951"/>
      <w:r w:rsidRPr="004A6E08">
        <w:rPr>
          <w:rFonts w:asciiTheme="minorHAnsi" w:hAnsiTheme="minorHAnsi" w:cstheme="minorHAnsi"/>
          <w:color w:val="2E74B5" w:themeColor="accent1" w:themeShade="BF"/>
          <w:szCs w:val="24"/>
        </w:rPr>
        <w:lastRenderedPageBreak/>
        <w:t>Posebni dio</w:t>
      </w:r>
      <w:bookmarkEnd w:id="12"/>
    </w:p>
    <w:p w14:paraId="08B899CA" w14:textId="77777777" w:rsidR="00CE2A39" w:rsidRPr="00CE2A39" w:rsidRDefault="00CE2A39" w:rsidP="00CE2A39">
      <w:pPr>
        <w:rPr>
          <w:lang w:eastAsia="hr-HR"/>
        </w:rPr>
      </w:pPr>
    </w:p>
    <w:p w14:paraId="6323D250" w14:textId="758C02D4" w:rsidR="00620B5D" w:rsidRDefault="00620B5D" w:rsidP="00504D9D">
      <w:pPr>
        <w:jc w:val="both"/>
        <w:rPr>
          <w:rFonts w:cstheme="minorHAnsi"/>
        </w:rPr>
      </w:pPr>
      <w:r w:rsidRPr="004A6E08">
        <w:rPr>
          <w:rFonts w:cstheme="minorHAnsi"/>
        </w:rPr>
        <w:t>Prikaz rashoda iskazanih po izvorima financiranja i ekonomskoj klasifikaciji, raspoređenih u programe koji se sastoje od aktivnosti i projekata</w:t>
      </w:r>
    </w:p>
    <w:p w14:paraId="17557C4C" w14:textId="58201C13" w:rsidR="00CE2A39" w:rsidRDefault="00CE2A39" w:rsidP="00504D9D">
      <w:pPr>
        <w:jc w:val="both"/>
        <w:rPr>
          <w:rFonts w:cstheme="minorHAnsi"/>
        </w:rPr>
      </w:pPr>
      <w:r w:rsidRPr="00CE2A39">
        <w:rPr>
          <w:noProof/>
          <w:lang w:eastAsia="hr-HR"/>
        </w:rPr>
        <w:drawing>
          <wp:inline distT="0" distB="0" distL="0" distR="0" wp14:anchorId="6AF7E265" wp14:editId="7FB80962">
            <wp:extent cx="6691630" cy="74526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1630" cy="7452657"/>
                    </a:xfrm>
                    <a:prstGeom prst="rect">
                      <a:avLst/>
                    </a:prstGeom>
                    <a:noFill/>
                    <a:ln>
                      <a:noFill/>
                    </a:ln>
                  </pic:spPr>
                </pic:pic>
              </a:graphicData>
            </a:graphic>
          </wp:inline>
        </w:drawing>
      </w:r>
    </w:p>
    <w:p w14:paraId="65071B90" w14:textId="2D221EAF" w:rsidR="00BB0AC6" w:rsidRPr="004A6E08" w:rsidRDefault="00A2293A" w:rsidP="00BB0AC6">
      <w:pPr>
        <w:rPr>
          <w:rFonts w:cstheme="minorHAnsi"/>
        </w:rPr>
      </w:pPr>
      <w:r w:rsidRPr="00A2293A">
        <w:rPr>
          <w:noProof/>
          <w:lang w:eastAsia="hr-HR"/>
        </w:rPr>
        <w:lastRenderedPageBreak/>
        <w:drawing>
          <wp:inline distT="0" distB="0" distL="0" distR="0" wp14:anchorId="24FEF7BF" wp14:editId="0F210211">
            <wp:extent cx="6691630" cy="74526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1630" cy="7452657"/>
                    </a:xfrm>
                    <a:prstGeom prst="rect">
                      <a:avLst/>
                    </a:prstGeom>
                    <a:noFill/>
                    <a:ln>
                      <a:noFill/>
                    </a:ln>
                  </pic:spPr>
                </pic:pic>
              </a:graphicData>
            </a:graphic>
          </wp:inline>
        </w:drawing>
      </w:r>
    </w:p>
    <w:p w14:paraId="0C9A8DBE" w14:textId="55624844" w:rsidR="00BB7649" w:rsidRDefault="00BB7649" w:rsidP="00BB0AC6">
      <w:pPr>
        <w:rPr>
          <w:rFonts w:cstheme="minorHAnsi"/>
        </w:rPr>
      </w:pPr>
    </w:p>
    <w:p w14:paraId="0EE035D5" w14:textId="4D428950" w:rsidR="00680272" w:rsidRPr="004A6E08" w:rsidRDefault="00C506B3" w:rsidP="00BB0AC6">
      <w:pPr>
        <w:rPr>
          <w:rFonts w:cstheme="minorHAnsi"/>
        </w:rPr>
      </w:pPr>
      <w:r>
        <w:rPr>
          <w:rFonts w:cstheme="minorHAnsi"/>
        </w:rPr>
        <w:br w:type="page"/>
      </w:r>
    </w:p>
    <w:p w14:paraId="4A7DDF8E" w14:textId="77777777" w:rsidR="00297B3B" w:rsidRPr="006D0A05" w:rsidRDefault="00297B3B" w:rsidP="002F2CDE">
      <w:pPr>
        <w:pStyle w:val="Heading1"/>
        <w:numPr>
          <w:ilvl w:val="0"/>
          <w:numId w:val="25"/>
        </w:numPr>
        <w:rPr>
          <w:rFonts w:asciiTheme="minorHAnsi" w:hAnsiTheme="minorHAnsi" w:cstheme="minorHAnsi"/>
          <w:color w:val="2E74B5" w:themeColor="accent1" w:themeShade="BF"/>
          <w:szCs w:val="24"/>
        </w:rPr>
      </w:pPr>
      <w:bookmarkStart w:id="13" w:name="_Toc193802952"/>
      <w:r w:rsidRPr="006D0A05">
        <w:rPr>
          <w:rFonts w:asciiTheme="minorHAnsi" w:hAnsiTheme="minorHAnsi" w:cstheme="minorHAnsi"/>
          <w:color w:val="2E74B5" w:themeColor="accent1" w:themeShade="BF"/>
          <w:szCs w:val="24"/>
        </w:rPr>
        <w:lastRenderedPageBreak/>
        <w:t xml:space="preserve">Obrazloženje </w:t>
      </w:r>
      <w:r w:rsidR="008132E2" w:rsidRPr="006D0A05">
        <w:rPr>
          <w:rFonts w:asciiTheme="minorHAnsi" w:hAnsiTheme="minorHAnsi" w:cstheme="minorHAnsi"/>
          <w:color w:val="2E74B5" w:themeColor="accent1" w:themeShade="BF"/>
          <w:szCs w:val="24"/>
        </w:rPr>
        <w:t>godišnjeg</w:t>
      </w:r>
      <w:r w:rsidRPr="006D0A05">
        <w:rPr>
          <w:rFonts w:asciiTheme="minorHAnsi" w:hAnsiTheme="minorHAnsi" w:cstheme="minorHAnsi"/>
          <w:color w:val="2E74B5" w:themeColor="accent1" w:themeShade="BF"/>
          <w:szCs w:val="24"/>
        </w:rPr>
        <w:t xml:space="preserve"> izvještaja o izvršenju financijskog plana</w:t>
      </w:r>
      <w:bookmarkEnd w:id="13"/>
    </w:p>
    <w:p w14:paraId="59F626BF" w14:textId="77777777" w:rsidR="008F28C7" w:rsidRPr="004A6E08" w:rsidRDefault="00297B3B" w:rsidP="00297B3B">
      <w:pPr>
        <w:pStyle w:val="Heading2"/>
        <w:spacing w:before="80" w:line="240" w:lineRule="auto"/>
        <w:ind w:left="360"/>
        <w:rPr>
          <w:rFonts w:asciiTheme="minorHAnsi" w:hAnsiTheme="minorHAnsi" w:cstheme="minorHAnsi"/>
          <w:b/>
          <w:sz w:val="22"/>
          <w:szCs w:val="22"/>
        </w:rPr>
      </w:pPr>
      <w:r w:rsidRPr="004A6E08">
        <w:rPr>
          <w:rFonts w:asciiTheme="minorHAnsi" w:hAnsiTheme="minorHAnsi" w:cstheme="minorHAnsi"/>
          <w:b/>
          <w:sz w:val="22"/>
          <w:szCs w:val="22"/>
        </w:rPr>
        <w:t xml:space="preserve"> </w:t>
      </w:r>
    </w:p>
    <w:p w14:paraId="53395742" w14:textId="77777777" w:rsidR="009D3A43" w:rsidRPr="004A6E08" w:rsidRDefault="009D3A43" w:rsidP="002F2CDE">
      <w:pPr>
        <w:pStyle w:val="Heading2"/>
        <w:numPr>
          <w:ilvl w:val="1"/>
          <w:numId w:val="25"/>
        </w:numPr>
        <w:spacing w:before="80" w:line="240" w:lineRule="auto"/>
        <w:rPr>
          <w:rFonts w:asciiTheme="minorHAnsi" w:hAnsiTheme="minorHAnsi" w:cstheme="minorHAnsi"/>
          <w:b/>
          <w:sz w:val="22"/>
          <w:szCs w:val="22"/>
        </w:rPr>
      </w:pPr>
      <w:bookmarkStart w:id="14" w:name="_Toc193802953"/>
      <w:r w:rsidRPr="004A6E08">
        <w:rPr>
          <w:rFonts w:asciiTheme="minorHAnsi" w:hAnsiTheme="minorHAnsi" w:cstheme="minorHAnsi"/>
          <w:b/>
          <w:sz w:val="22"/>
          <w:szCs w:val="22"/>
        </w:rPr>
        <w:t>Obrazloženje općeg dijela izvještaja o izvršenju financijskog plana</w:t>
      </w:r>
      <w:bookmarkEnd w:id="14"/>
    </w:p>
    <w:p w14:paraId="59D57211" w14:textId="77777777" w:rsidR="00297B3B" w:rsidRPr="004A6E08" w:rsidRDefault="00297B3B" w:rsidP="00297B3B">
      <w:pPr>
        <w:rPr>
          <w:rFonts w:cstheme="minorHAnsi"/>
        </w:rPr>
      </w:pPr>
    </w:p>
    <w:p w14:paraId="6C85D003" w14:textId="389F2C0E" w:rsidR="00CC69BB" w:rsidRPr="00D5004D" w:rsidRDefault="0065230C" w:rsidP="00297B3B">
      <w:pPr>
        <w:jc w:val="both"/>
        <w:rPr>
          <w:rFonts w:cstheme="minorHAnsi"/>
        </w:rPr>
      </w:pPr>
      <w:r w:rsidRPr="00D5004D">
        <w:rPr>
          <w:rFonts w:cstheme="minorHAnsi"/>
        </w:rPr>
        <w:t xml:space="preserve">Ukupni prihodi u </w:t>
      </w:r>
      <w:r w:rsidR="00111F7E" w:rsidRPr="00D5004D">
        <w:rPr>
          <w:rFonts w:cstheme="minorHAnsi"/>
        </w:rPr>
        <w:t>razdoblju od 01.</w:t>
      </w:r>
      <w:r w:rsidR="00FF3814" w:rsidRPr="00D5004D">
        <w:rPr>
          <w:rFonts w:cstheme="minorHAnsi"/>
        </w:rPr>
        <w:t xml:space="preserve"> </w:t>
      </w:r>
      <w:r w:rsidR="00111F7E" w:rsidRPr="00D5004D">
        <w:rPr>
          <w:rFonts w:cstheme="minorHAnsi"/>
        </w:rPr>
        <w:t xml:space="preserve">01. do </w:t>
      </w:r>
      <w:r w:rsidR="008132E2" w:rsidRPr="00D5004D">
        <w:rPr>
          <w:rFonts w:cstheme="minorHAnsi"/>
        </w:rPr>
        <w:t>31</w:t>
      </w:r>
      <w:r w:rsidR="00111F7E" w:rsidRPr="00D5004D">
        <w:rPr>
          <w:rFonts w:cstheme="minorHAnsi"/>
        </w:rPr>
        <w:t>.</w:t>
      </w:r>
      <w:r w:rsidR="00FF3814" w:rsidRPr="00D5004D">
        <w:rPr>
          <w:rFonts w:cstheme="minorHAnsi"/>
        </w:rPr>
        <w:t xml:space="preserve"> </w:t>
      </w:r>
      <w:r w:rsidR="008132E2" w:rsidRPr="00D5004D">
        <w:rPr>
          <w:rFonts w:cstheme="minorHAnsi"/>
        </w:rPr>
        <w:t>12</w:t>
      </w:r>
      <w:r w:rsidR="00111F7E" w:rsidRPr="00D5004D">
        <w:rPr>
          <w:rFonts w:cstheme="minorHAnsi"/>
        </w:rPr>
        <w:t>.</w:t>
      </w:r>
      <w:r w:rsidR="00FF3814" w:rsidRPr="00D5004D">
        <w:rPr>
          <w:rFonts w:cstheme="minorHAnsi"/>
        </w:rPr>
        <w:t xml:space="preserve"> </w:t>
      </w:r>
      <w:r w:rsidR="00D5004D" w:rsidRPr="00D5004D">
        <w:rPr>
          <w:rFonts w:cstheme="minorHAnsi"/>
        </w:rPr>
        <w:t>2024</w:t>
      </w:r>
      <w:r w:rsidR="00EB0C10">
        <w:rPr>
          <w:rFonts w:cstheme="minorHAnsi"/>
        </w:rPr>
        <w:t>.</w:t>
      </w:r>
      <w:r w:rsidRPr="00D5004D">
        <w:rPr>
          <w:rFonts w:cstheme="minorHAnsi"/>
        </w:rPr>
        <w:t xml:space="preserve"> iznose </w:t>
      </w:r>
      <w:r w:rsidR="00D5004D" w:rsidRPr="00D5004D">
        <w:rPr>
          <w:rFonts w:cstheme="minorHAnsi"/>
        </w:rPr>
        <w:t>15.920.763,49</w:t>
      </w:r>
      <w:r w:rsidRPr="00D5004D">
        <w:rPr>
          <w:rFonts w:cstheme="minorHAnsi"/>
        </w:rPr>
        <w:t xml:space="preserve"> EUR, što predstavlja ostvarenje plana</w:t>
      </w:r>
      <w:r w:rsidR="00111F7E" w:rsidRPr="00D5004D">
        <w:rPr>
          <w:rFonts w:cstheme="minorHAnsi"/>
        </w:rPr>
        <w:t xml:space="preserve"> od</w:t>
      </w:r>
      <w:r w:rsidRPr="00D5004D">
        <w:rPr>
          <w:rFonts w:cstheme="minorHAnsi"/>
        </w:rPr>
        <w:t xml:space="preserve"> </w:t>
      </w:r>
      <w:r w:rsidR="00D5004D" w:rsidRPr="00D5004D">
        <w:rPr>
          <w:rFonts w:cstheme="minorHAnsi"/>
        </w:rPr>
        <w:t>98,95</w:t>
      </w:r>
      <w:r w:rsidRPr="00D5004D">
        <w:rPr>
          <w:rFonts w:cstheme="minorHAnsi"/>
        </w:rPr>
        <w:t>%. U odnosu na prethodnu godi</w:t>
      </w:r>
      <w:r w:rsidR="00C9278B" w:rsidRPr="00D5004D">
        <w:rPr>
          <w:rFonts w:cstheme="minorHAnsi"/>
        </w:rPr>
        <w:t xml:space="preserve">nu prihodi su povećani za </w:t>
      </w:r>
      <w:r w:rsidR="00D5004D" w:rsidRPr="00D5004D">
        <w:rPr>
          <w:rFonts w:cstheme="minorHAnsi"/>
        </w:rPr>
        <w:t>14,65</w:t>
      </w:r>
      <w:r w:rsidRPr="00D5004D">
        <w:rPr>
          <w:rFonts w:cstheme="minorHAnsi"/>
        </w:rPr>
        <w:t xml:space="preserve">%. </w:t>
      </w:r>
      <w:r w:rsidR="00111F7E" w:rsidRPr="00D5004D">
        <w:rPr>
          <w:rFonts w:cstheme="minorHAnsi"/>
        </w:rPr>
        <w:t>Od toga p</w:t>
      </w:r>
      <w:r w:rsidRPr="00D5004D">
        <w:rPr>
          <w:rFonts w:cstheme="minorHAnsi"/>
        </w:rPr>
        <w:t>rihod</w:t>
      </w:r>
      <w:r w:rsidR="00C9278B" w:rsidRPr="00D5004D">
        <w:rPr>
          <w:rFonts w:cstheme="minorHAnsi"/>
        </w:rPr>
        <w:t>i</w:t>
      </w:r>
      <w:r w:rsidRPr="00D5004D">
        <w:rPr>
          <w:rFonts w:cstheme="minorHAnsi"/>
        </w:rPr>
        <w:t xml:space="preserve"> poslovanja iznose </w:t>
      </w:r>
      <w:r w:rsidR="00D5004D" w:rsidRPr="00D5004D">
        <w:rPr>
          <w:rFonts w:cstheme="minorHAnsi"/>
        </w:rPr>
        <w:t>15.808.550,37</w:t>
      </w:r>
      <w:r w:rsidRPr="00D5004D">
        <w:rPr>
          <w:rFonts w:cstheme="minorHAnsi"/>
        </w:rPr>
        <w:t xml:space="preserve"> EUR</w:t>
      </w:r>
      <w:r w:rsidR="00FF3814" w:rsidRPr="00D5004D">
        <w:rPr>
          <w:rFonts w:cstheme="minorHAnsi"/>
        </w:rPr>
        <w:t>,</w:t>
      </w:r>
      <w:r w:rsidR="00111F7E" w:rsidRPr="00D5004D">
        <w:rPr>
          <w:rFonts w:cstheme="minorHAnsi"/>
        </w:rPr>
        <w:t xml:space="preserve"> a</w:t>
      </w:r>
      <w:r w:rsidRPr="00D5004D">
        <w:rPr>
          <w:rFonts w:cstheme="minorHAnsi"/>
        </w:rPr>
        <w:t xml:space="preserve"> prihodi od prodaje nefinancijske imovine iznose </w:t>
      </w:r>
      <w:r w:rsidR="00D5004D" w:rsidRPr="00D5004D">
        <w:rPr>
          <w:rFonts w:cstheme="minorHAnsi"/>
        </w:rPr>
        <w:t>112.213,12</w:t>
      </w:r>
      <w:r w:rsidRPr="00D5004D">
        <w:rPr>
          <w:rFonts w:cstheme="minorHAnsi"/>
        </w:rPr>
        <w:t xml:space="preserve"> EUR. Udio prihoda poslovanja u</w:t>
      </w:r>
      <w:r w:rsidR="00C9278B" w:rsidRPr="00D5004D">
        <w:rPr>
          <w:rFonts w:cstheme="minorHAnsi"/>
        </w:rPr>
        <w:t xml:space="preserve"> ukupnim prihodima iznosi </w:t>
      </w:r>
      <w:r w:rsidR="00D5004D" w:rsidRPr="00D5004D">
        <w:rPr>
          <w:rFonts w:cstheme="minorHAnsi"/>
        </w:rPr>
        <w:t>99,30</w:t>
      </w:r>
      <w:r w:rsidRPr="00D5004D">
        <w:rPr>
          <w:rFonts w:cstheme="minorHAnsi"/>
        </w:rPr>
        <w:t>%.</w:t>
      </w:r>
    </w:p>
    <w:p w14:paraId="6489FB20" w14:textId="680B3755" w:rsidR="00CC69BB" w:rsidRPr="00D5004D" w:rsidRDefault="00CC69BB" w:rsidP="00297B3B">
      <w:pPr>
        <w:jc w:val="both"/>
        <w:rPr>
          <w:rFonts w:cstheme="minorHAnsi"/>
        </w:rPr>
      </w:pPr>
      <w:r w:rsidRPr="00D5004D">
        <w:rPr>
          <w:rFonts w:cstheme="minorHAnsi"/>
        </w:rPr>
        <w:t xml:space="preserve">Ukupni rashodi u </w:t>
      </w:r>
      <w:r w:rsidR="00111F7E" w:rsidRPr="00D5004D">
        <w:rPr>
          <w:rFonts w:cstheme="minorHAnsi"/>
        </w:rPr>
        <w:t>razd</w:t>
      </w:r>
      <w:r w:rsidR="008132E2" w:rsidRPr="00D5004D">
        <w:rPr>
          <w:rFonts w:cstheme="minorHAnsi"/>
        </w:rPr>
        <w:t>oblju od 01.</w:t>
      </w:r>
      <w:r w:rsidR="00FF3814" w:rsidRPr="00D5004D">
        <w:rPr>
          <w:rFonts w:cstheme="minorHAnsi"/>
        </w:rPr>
        <w:t xml:space="preserve"> </w:t>
      </w:r>
      <w:r w:rsidR="008132E2" w:rsidRPr="00D5004D">
        <w:rPr>
          <w:rFonts w:cstheme="minorHAnsi"/>
        </w:rPr>
        <w:t>01. do 31.</w:t>
      </w:r>
      <w:r w:rsidR="00FF3814" w:rsidRPr="00D5004D">
        <w:rPr>
          <w:rFonts w:cstheme="minorHAnsi"/>
        </w:rPr>
        <w:t xml:space="preserve"> </w:t>
      </w:r>
      <w:r w:rsidR="008132E2" w:rsidRPr="00D5004D">
        <w:rPr>
          <w:rFonts w:cstheme="minorHAnsi"/>
        </w:rPr>
        <w:t>12</w:t>
      </w:r>
      <w:r w:rsidR="00111F7E" w:rsidRPr="00D5004D">
        <w:rPr>
          <w:rFonts w:cstheme="minorHAnsi"/>
        </w:rPr>
        <w:t>.</w:t>
      </w:r>
      <w:r w:rsidR="00FF3814" w:rsidRPr="00D5004D">
        <w:rPr>
          <w:rFonts w:cstheme="minorHAnsi"/>
        </w:rPr>
        <w:t xml:space="preserve"> </w:t>
      </w:r>
      <w:r w:rsidRPr="00D5004D">
        <w:rPr>
          <w:rFonts w:cstheme="minorHAnsi"/>
        </w:rPr>
        <w:t>202</w:t>
      </w:r>
      <w:r w:rsidR="00D5004D" w:rsidRPr="00D5004D">
        <w:rPr>
          <w:rFonts w:cstheme="minorHAnsi"/>
        </w:rPr>
        <w:t>4</w:t>
      </w:r>
      <w:r w:rsidR="00EB0C10">
        <w:rPr>
          <w:rFonts w:cstheme="minorHAnsi"/>
        </w:rPr>
        <w:t>.</w:t>
      </w:r>
      <w:r w:rsidRPr="00D5004D">
        <w:rPr>
          <w:rFonts w:cstheme="minorHAnsi"/>
        </w:rPr>
        <w:t xml:space="preserve"> iznose </w:t>
      </w:r>
      <w:r w:rsidR="00D5004D" w:rsidRPr="00D5004D">
        <w:rPr>
          <w:rFonts w:cstheme="minorHAnsi"/>
        </w:rPr>
        <w:t>13.791.728,85</w:t>
      </w:r>
      <w:r w:rsidRPr="00D5004D">
        <w:rPr>
          <w:rFonts w:cstheme="minorHAnsi"/>
        </w:rPr>
        <w:t xml:space="preserve"> EUR, što predst</w:t>
      </w:r>
      <w:r w:rsidR="00C9278B" w:rsidRPr="00D5004D">
        <w:rPr>
          <w:rFonts w:cstheme="minorHAnsi"/>
        </w:rPr>
        <w:t xml:space="preserve">avlja ostvarenje plana od </w:t>
      </w:r>
      <w:r w:rsidR="00453B63">
        <w:rPr>
          <w:rFonts w:cstheme="minorHAnsi"/>
        </w:rPr>
        <w:t>80,79</w:t>
      </w:r>
      <w:r w:rsidRPr="00D5004D">
        <w:rPr>
          <w:rFonts w:cstheme="minorHAnsi"/>
        </w:rPr>
        <w:t xml:space="preserve">%. U odnosu na prethodnu godinu rashodi su viši za </w:t>
      </w:r>
      <w:r w:rsidR="00D5004D" w:rsidRPr="00D5004D">
        <w:rPr>
          <w:rFonts w:cstheme="minorHAnsi"/>
        </w:rPr>
        <w:t>0,22</w:t>
      </w:r>
      <w:r w:rsidRPr="00D5004D">
        <w:rPr>
          <w:rFonts w:cstheme="minorHAnsi"/>
        </w:rPr>
        <w:t>%.</w:t>
      </w:r>
    </w:p>
    <w:p w14:paraId="1C73D42B" w14:textId="28829407" w:rsidR="0065230C" w:rsidRPr="00D5004D" w:rsidRDefault="00CC69BB" w:rsidP="00297B3B">
      <w:pPr>
        <w:jc w:val="both"/>
        <w:rPr>
          <w:rFonts w:cstheme="minorHAnsi"/>
        </w:rPr>
      </w:pPr>
      <w:r w:rsidRPr="00D5004D">
        <w:rPr>
          <w:rFonts w:cstheme="minorHAnsi"/>
        </w:rPr>
        <w:t>U ukupno ost</w:t>
      </w:r>
      <w:r w:rsidR="00111F7E" w:rsidRPr="00D5004D">
        <w:rPr>
          <w:rFonts w:cstheme="minorHAnsi"/>
        </w:rPr>
        <w:t>va</w:t>
      </w:r>
      <w:r w:rsidRPr="00D5004D">
        <w:rPr>
          <w:rFonts w:cstheme="minorHAnsi"/>
        </w:rPr>
        <w:t>renim rashodima u 202</w:t>
      </w:r>
      <w:r w:rsidR="00D5004D" w:rsidRPr="00D5004D">
        <w:rPr>
          <w:rFonts w:cstheme="minorHAnsi"/>
        </w:rPr>
        <w:t>4</w:t>
      </w:r>
      <w:r w:rsidRPr="00D5004D">
        <w:rPr>
          <w:rFonts w:cstheme="minorHAnsi"/>
        </w:rPr>
        <w:t xml:space="preserve">. udio rashoda poslovanja iznosi </w:t>
      </w:r>
      <w:r w:rsidR="00D5004D" w:rsidRPr="00D5004D">
        <w:rPr>
          <w:rFonts w:cstheme="minorHAnsi"/>
        </w:rPr>
        <w:t>91,45</w:t>
      </w:r>
      <w:r w:rsidRPr="00D5004D">
        <w:rPr>
          <w:rFonts w:cstheme="minorHAnsi"/>
        </w:rPr>
        <w:t>%</w:t>
      </w:r>
      <w:r w:rsidR="00FF3814" w:rsidRPr="00D5004D">
        <w:rPr>
          <w:rFonts w:cstheme="minorHAnsi"/>
        </w:rPr>
        <w:t>,</w:t>
      </w:r>
      <w:r w:rsidRPr="00D5004D">
        <w:rPr>
          <w:rFonts w:cstheme="minorHAnsi"/>
        </w:rPr>
        <w:t xml:space="preserve"> a udio rashoda za nabavu nefinancijske imovine iznosi </w:t>
      </w:r>
      <w:r w:rsidR="00D5004D" w:rsidRPr="00D5004D">
        <w:rPr>
          <w:rFonts w:cstheme="minorHAnsi"/>
        </w:rPr>
        <w:t>8,55</w:t>
      </w:r>
      <w:r w:rsidRPr="00D5004D">
        <w:rPr>
          <w:rFonts w:cstheme="minorHAnsi"/>
        </w:rPr>
        <w:t>%</w:t>
      </w:r>
    </w:p>
    <w:p w14:paraId="4D3D4760" w14:textId="6D8EA2B7" w:rsidR="00680272" w:rsidRPr="00D5004D" w:rsidRDefault="00EA76A8" w:rsidP="00680272">
      <w:pPr>
        <w:jc w:val="both"/>
        <w:rPr>
          <w:rFonts w:cstheme="minorHAnsi"/>
        </w:rPr>
      </w:pPr>
      <w:r w:rsidRPr="00D5004D">
        <w:rPr>
          <w:rFonts w:eastAsia="Times New Roman" w:cstheme="minorHAnsi"/>
          <w:bCs/>
          <w:lang w:val="sl-SI"/>
        </w:rPr>
        <w:t xml:space="preserve">Prihodi HAKOM-a </w:t>
      </w:r>
      <w:r w:rsidR="00111F7E" w:rsidRPr="00D5004D">
        <w:rPr>
          <w:rFonts w:eastAsia="Times New Roman" w:cstheme="minorHAnsi"/>
          <w:bCs/>
          <w:lang w:val="sl-SI"/>
        </w:rPr>
        <w:t xml:space="preserve">ostvareni u </w:t>
      </w:r>
      <w:r w:rsidRPr="00D5004D">
        <w:rPr>
          <w:rFonts w:eastAsia="Times New Roman" w:cstheme="minorHAnsi"/>
          <w:bCs/>
          <w:lang w:val="sl-SI"/>
        </w:rPr>
        <w:t>202</w:t>
      </w:r>
      <w:r w:rsidR="00D5004D">
        <w:rPr>
          <w:rFonts w:eastAsia="Times New Roman" w:cstheme="minorHAnsi"/>
          <w:bCs/>
          <w:lang w:val="sl-SI"/>
        </w:rPr>
        <w:t>4</w:t>
      </w:r>
      <w:r w:rsidR="00EB0C10">
        <w:rPr>
          <w:rFonts w:eastAsia="Times New Roman" w:cstheme="minorHAnsi"/>
          <w:bCs/>
          <w:lang w:val="sl-SI"/>
        </w:rPr>
        <w:t>.</w:t>
      </w:r>
      <w:r w:rsidR="0060079D" w:rsidRPr="00D5004D">
        <w:rPr>
          <w:rFonts w:eastAsia="Times New Roman" w:cstheme="minorHAnsi"/>
          <w:bCs/>
          <w:lang w:val="sl-SI"/>
        </w:rPr>
        <w:t xml:space="preserve"> </w:t>
      </w:r>
      <w:r w:rsidRPr="00D5004D">
        <w:rPr>
          <w:rFonts w:eastAsia="Times New Roman" w:cstheme="minorHAnsi"/>
          <w:bCs/>
          <w:lang w:val="sl-SI"/>
        </w:rPr>
        <w:t>sastoje se od:</w:t>
      </w:r>
    </w:p>
    <w:p w14:paraId="42E7FF8C" w14:textId="77777777" w:rsidR="00EA76A8" w:rsidRPr="00D5004D" w:rsidRDefault="00EA76A8" w:rsidP="00680272">
      <w:pPr>
        <w:pStyle w:val="ListParagraph"/>
        <w:numPr>
          <w:ilvl w:val="0"/>
          <w:numId w:val="39"/>
        </w:numPr>
        <w:jc w:val="both"/>
        <w:rPr>
          <w:rFonts w:cstheme="minorHAnsi"/>
        </w:rPr>
      </w:pPr>
      <w:r w:rsidRPr="00D5004D">
        <w:rPr>
          <w:rFonts w:cstheme="minorHAnsi"/>
        </w:rPr>
        <w:t>(63) pomoći iz inozemstva i od subjekata unutar općeg proračuna</w:t>
      </w:r>
    </w:p>
    <w:p w14:paraId="5943773F" w14:textId="0C326219" w:rsidR="00680272" w:rsidRPr="00D5004D" w:rsidRDefault="00680272" w:rsidP="00680272">
      <w:pPr>
        <w:pStyle w:val="ListParagraph"/>
        <w:numPr>
          <w:ilvl w:val="0"/>
          <w:numId w:val="39"/>
        </w:numPr>
        <w:jc w:val="both"/>
        <w:rPr>
          <w:rFonts w:cstheme="minorHAnsi"/>
        </w:rPr>
      </w:pPr>
      <w:r w:rsidRPr="00D5004D">
        <w:rPr>
          <w:rFonts w:cstheme="minorHAnsi"/>
        </w:rPr>
        <w:t>(64) prihod</w:t>
      </w:r>
      <w:r w:rsidR="001567C2">
        <w:rPr>
          <w:rFonts w:cstheme="minorHAnsi"/>
        </w:rPr>
        <w:t>i</w:t>
      </w:r>
      <w:r w:rsidRPr="00D5004D">
        <w:rPr>
          <w:rFonts w:cstheme="minorHAnsi"/>
        </w:rPr>
        <w:t xml:space="preserve"> od imovine</w:t>
      </w:r>
    </w:p>
    <w:p w14:paraId="0C42A07B" w14:textId="5BD90AFB" w:rsidR="00680272" w:rsidRPr="00D5004D" w:rsidRDefault="00680272" w:rsidP="00680272">
      <w:pPr>
        <w:pStyle w:val="ListParagraph"/>
        <w:numPr>
          <w:ilvl w:val="0"/>
          <w:numId w:val="39"/>
        </w:numPr>
        <w:jc w:val="both"/>
        <w:rPr>
          <w:rFonts w:cstheme="minorHAnsi"/>
        </w:rPr>
      </w:pPr>
      <w:r w:rsidRPr="00D5004D">
        <w:rPr>
          <w:rFonts w:cstheme="minorHAnsi"/>
        </w:rPr>
        <w:t>(65) prihod</w:t>
      </w:r>
      <w:r w:rsidR="001567C2">
        <w:rPr>
          <w:rFonts w:cstheme="minorHAnsi"/>
        </w:rPr>
        <w:t>i</w:t>
      </w:r>
      <w:r w:rsidRPr="00D5004D">
        <w:rPr>
          <w:rFonts w:cstheme="minorHAnsi"/>
        </w:rPr>
        <w:t xml:space="preserve"> od upr. i admin. pristojbi i po posebnim propisima i naknada</w:t>
      </w:r>
    </w:p>
    <w:p w14:paraId="73133412" w14:textId="19C9F324" w:rsidR="00680272" w:rsidRPr="00D5004D" w:rsidRDefault="00680272" w:rsidP="00680272">
      <w:pPr>
        <w:pStyle w:val="ListParagraph"/>
        <w:numPr>
          <w:ilvl w:val="0"/>
          <w:numId w:val="39"/>
        </w:numPr>
        <w:jc w:val="both"/>
        <w:rPr>
          <w:rFonts w:cstheme="minorHAnsi"/>
        </w:rPr>
      </w:pPr>
      <w:r w:rsidRPr="00D5004D">
        <w:rPr>
          <w:rFonts w:cstheme="minorHAnsi"/>
        </w:rPr>
        <w:t xml:space="preserve">(68) </w:t>
      </w:r>
      <w:r w:rsidR="001567C2">
        <w:rPr>
          <w:rFonts w:cstheme="minorHAnsi"/>
        </w:rPr>
        <w:t>kazne, upravne mjere i ostali prihodi</w:t>
      </w:r>
    </w:p>
    <w:p w14:paraId="15AD00C6" w14:textId="05CC4508" w:rsidR="00F131A6" w:rsidRDefault="00680272" w:rsidP="00B6133C">
      <w:pPr>
        <w:pStyle w:val="ListParagraph"/>
        <w:numPr>
          <w:ilvl w:val="0"/>
          <w:numId w:val="39"/>
        </w:numPr>
        <w:jc w:val="both"/>
        <w:rPr>
          <w:rFonts w:cstheme="minorHAnsi"/>
        </w:rPr>
      </w:pPr>
      <w:r w:rsidRPr="00D5004D">
        <w:rPr>
          <w:rFonts w:cstheme="minorHAnsi"/>
        </w:rPr>
        <w:t>(72) prihodi od prodaje proizvedene dugotrajne imovine</w:t>
      </w:r>
      <w:r w:rsidR="00A75921">
        <w:rPr>
          <w:rFonts w:cstheme="minorHAnsi"/>
        </w:rPr>
        <w:t>.</w:t>
      </w:r>
    </w:p>
    <w:p w14:paraId="4BFD6028" w14:textId="77777777" w:rsidR="001567C2" w:rsidRPr="001567C2" w:rsidRDefault="001567C2" w:rsidP="001567C2">
      <w:pPr>
        <w:ind w:left="360"/>
        <w:jc w:val="both"/>
        <w:rPr>
          <w:rFonts w:cstheme="minorHAnsi"/>
        </w:rPr>
      </w:pPr>
    </w:p>
    <w:p w14:paraId="6CD73441" w14:textId="1697CA76" w:rsidR="00AE191E" w:rsidRPr="00AE191E" w:rsidRDefault="00AE191E" w:rsidP="00423C62">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1567C2">
        <w:rPr>
          <w:rFonts w:eastAsia="Times New Roman" w:cstheme="minorHAnsi"/>
          <w:bCs/>
          <w:lang w:val="sl-SI"/>
        </w:rPr>
        <w:t xml:space="preserve">Pomoći iz inozemstva i od subjekata unutar općeg proračuna </w:t>
      </w:r>
      <w:r w:rsidRPr="001567C2">
        <w:rPr>
          <w:rFonts w:eastAsia="Times New Roman" w:cstheme="minorHAnsi"/>
          <w:b/>
          <w:bCs/>
          <w:lang w:val="sl-SI"/>
        </w:rPr>
        <w:t>(63)</w:t>
      </w:r>
    </w:p>
    <w:p w14:paraId="6B1EAE13" w14:textId="77777777"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AE191E">
        <w:rPr>
          <w:rFonts w:eastAsia="Times New Roman" w:cstheme="minorHAnsi"/>
          <w:bCs/>
          <w:lang w:val="sl-SI"/>
        </w:rPr>
        <w:t>U promatranom razdoblju, tekuće pomoći od institucija i tijela EU (6323) ostvarene su u iznosu od 59.253,48 EUR, što predstavlja povećanje u odnosu na ostvarenje u prethodnom izvještajnom razdoblju.</w:t>
      </w:r>
    </w:p>
    <w:p w14:paraId="1308FBED" w14:textId="77777777"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AE191E">
        <w:rPr>
          <w:rFonts w:eastAsia="Times New Roman" w:cstheme="minorHAnsi"/>
          <w:bCs/>
          <w:lang w:val="sl-SI"/>
        </w:rPr>
        <w:t>Povećanje prihoda tekućih pomoći od institucija i tijela EU je rezultat povećanja inozemnih službenih putovanja, u svrhu sudjelovanja na sastancima institucija i tijela EU.</w:t>
      </w:r>
    </w:p>
    <w:p w14:paraId="5AB571A9" w14:textId="40AA0F0F"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AE191E">
        <w:rPr>
          <w:rFonts w:eastAsia="Times New Roman" w:cstheme="minorHAnsi"/>
          <w:bCs/>
          <w:lang w:val="sl-SI"/>
        </w:rPr>
        <w:t>U listopadu 2022. predsjednik Vijeća HAKOM-a g. Tonko Obuljen izabran je za predsjedavajućeg BEREC-a u 2024. što je u promatranom razdoblju iziskivalo značajan angažman stručnjaka HAKOM-a kroz sudjelovanje na većem broju sastanaka BEREC-a.</w:t>
      </w:r>
    </w:p>
    <w:p w14:paraId="225ED51D" w14:textId="7A82A216" w:rsidR="00AE191E" w:rsidRPr="00AE191E" w:rsidRDefault="00AE191E" w:rsidP="000F7E6F">
      <w:pPr>
        <w:keepNext/>
        <w:overflowPunct w:val="0"/>
        <w:autoSpaceDE w:val="0"/>
        <w:autoSpaceDN w:val="0"/>
        <w:adjustRightInd w:val="0"/>
        <w:spacing w:after="120" w:line="240" w:lineRule="auto"/>
        <w:ind w:left="360"/>
        <w:jc w:val="both"/>
        <w:textAlignment w:val="baseline"/>
        <w:outlineLvl w:val="7"/>
        <w:rPr>
          <w:rFonts w:eastAsia="Times New Roman" w:cstheme="minorHAnsi"/>
          <w:bCs/>
          <w:highlight w:val="yellow"/>
          <w:lang w:val="sl-SI"/>
        </w:rPr>
      </w:pPr>
      <w:r w:rsidRPr="00AE191E">
        <w:rPr>
          <w:rFonts w:eastAsia="Times New Roman" w:cstheme="minorHAnsi"/>
          <w:bCs/>
          <w:lang w:val="sl-SI"/>
        </w:rPr>
        <w:t>Isto tako, HAKOM je odlukom Vlade RH imenovan za Koordinatora za digitalne usluge u skladu s EU Aktom o digitalnim uslugama (DSA) čime se dodatno povećao broj inozemnih službenih putovanja za koja su ostvarene refundacije troškova.</w:t>
      </w:r>
    </w:p>
    <w:p w14:paraId="2B22728F" w14:textId="58D0D7B6"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AE191E">
        <w:rPr>
          <w:rFonts w:eastAsia="Times New Roman" w:cstheme="minorHAnsi"/>
          <w:bCs/>
          <w:lang w:val="sl-SI"/>
        </w:rPr>
        <w:t xml:space="preserve">Prihodi od imovine </w:t>
      </w:r>
      <w:r w:rsidRPr="00AE191E">
        <w:rPr>
          <w:rFonts w:eastAsia="Times New Roman" w:cstheme="minorHAnsi"/>
          <w:b/>
          <w:bCs/>
          <w:lang w:val="sl-SI"/>
        </w:rPr>
        <w:t>(64)</w:t>
      </w:r>
    </w:p>
    <w:p w14:paraId="63919431" w14:textId="77777777"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lang w:val="sl-SI"/>
        </w:rPr>
      </w:pPr>
      <w:r w:rsidRPr="00AE191E">
        <w:rPr>
          <w:rFonts w:eastAsia="Times New Roman" w:cstheme="minorHAnsi"/>
          <w:bCs/>
          <w:lang w:val="sl-SI"/>
        </w:rPr>
        <w:t>Prihodi od imovine su u 2024. evidentirani u iznosu od 3.071,65 EUR, što predstavlja smanjenje u odnosu na 2023. kad su iznosili 4.755,09 EUR.</w:t>
      </w:r>
    </w:p>
    <w:p w14:paraId="62EEF723" w14:textId="77777777"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rPr>
      </w:pPr>
      <w:r w:rsidRPr="00AE191E">
        <w:rPr>
          <w:rFonts w:eastAsia="Times New Roman" w:cstheme="minorHAnsi"/>
          <w:bCs/>
        </w:rPr>
        <w:t xml:space="preserve">Kamate na depozite po viđenju nisu materijalno značajne (299,48 EUR) zbog niskih kamatnih stopa poslovne banke. </w:t>
      </w:r>
    </w:p>
    <w:p w14:paraId="048BE3AB" w14:textId="2DDC0DC3" w:rsidR="00AE191E" w:rsidRPr="00AE191E" w:rsidRDefault="00AE191E" w:rsidP="00AE191E">
      <w:pPr>
        <w:keepNext/>
        <w:overflowPunct w:val="0"/>
        <w:autoSpaceDE w:val="0"/>
        <w:autoSpaceDN w:val="0"/>
        <w:adjustRightInd w:val="0"/>
        <w:spacing w:after="120" w:line="240" w:lineRule="auto"/>
        <w:ind w:left="360"/>
        <w:jc w:val="both"/>
        <w:textAlignment w:val="baseline"/>
        <w:outlineLvl w:val="7"/>
        <w:rPr>
          <w:rFonts w:eastAsia="Times New Roman" w:cstheme="minorHAnsi"/>
          <w:bCs/>
        </w:rPr>
      </w:pPr>
      <w:r w:rsidRPr="00AE191E">
        <w:rPr>
          <w:rFonts w:eastAsia="Times New Roman" w:cstheme="minorHAnsi"/>
          <w:bCs/>
        </w:rPr>
        <w:t>Zatezne kamate su redovito obračunate i naplaćene od poslovnih subjekata koji nisu podmirili svoje obveze prema HAKOM-u do datuma dospijeća (2.772,17 EUR).</w:t>
      </w:r>
    </w:p>
    <w:p w14:paraId="1E08E3B6" w14:textId="6AB1C1B5" w:rsidR="00AE191E" w:rsidRDefault="00AE191E">
      <w:pPr>
        <w:rPr>
          <w:rFonts w:cstheme="minorHAnsi"/>
        </w:rPr>
      </w:pPr>
      <w:r>
        <w:rPr>
          <w:rFonts w:cstheme="minorHAnsi"/>
        </w:rPr>
        <w:br w:type="page"/>
      </w:r>
    </w:p>
    <w:p w14:paraId="4A36F558" w14:textId="20B01456" w:rsidR="00B25EDB" w:rsidRPr="00AE191E" w:rsidRDefault="00197502" w:rsidP="00AE191E">
      <w:pPr>
        <w:rPr>
          <w:rFonts w:cstheme="minorHAnsi"/>
        </w:rPr>
      </w:pPr>
      <w:r w:rsidRPr="00023288">
        <w:rPr>
          <w:rFonts w:eastAsia="Times New Roman" w:cstheme="minorHAnsi"/>
          <w:bCs/>
          <w:lang w:val="sl-SI"/>
        </w:rPr>
        <w:lastRenderedPageBreak/>
        <w:t xml:space="preserve">Prihodi od upravnih i administrativnih pristojbi, pristojbi po posebnim propisima i naknada </w:t>
      </w:r>
      <w:r w:rsidRPr="00023288">
        <w:rPr>
          <w:rFonts w:eastAsia="Times New Roman" w:cstheme="minorHAnsi"/>
          <w:b/>
          <w:bCs/>
          <w:lang w:val="sl-SI"/>
        </w:rPr>
        <w:t>(65)</w:t>
      </w:r>
    </w:p>
    <w:p w14:paraId="396F05DD" w14:textId="477B2A4A" w:rsidR="00F131A6" w:rsidRPr="00023288" w:rsidRDefault="00F131A6" w:rsidP="00297B3B">
      <w:pPr>
        <w:keepNext/>
        <w:overflowPunct w:val="0"/>
        <w:autoSpaceDE w:val="0"/>
        <w:autoSpaceDN w:val="0"/>
        <w:adjustRightInd w:val="0"/>
        <w:spacing w:after="120" w:line="240" w:lineRule="auto"/>
        <w:jc w:val="both"/>
        <w:textAlignment w:val="baseline"/>
        <w:outlineLvl w:val="7"/>
        <w:rPr>
          <w:rFonts w:eastAsia="Times New Roman" w:cstheme="minorHAnsi"/>
          <w:bCs/>
          <w:lang w:val="sl-SI"/>
        </w:rPr>
      </w:pPr>
      <w:r w:rsidRPr="00023288">
        <w:rPr>
          <w:rFonts w:eastAsia="Times New Roman" w:cstheme="minorHAnsi"/>
          <w:bCs/>
          <w:lang w:val="sl-SI"/>
        </w:rPr>
        <w:t xml:space="preserve">Prihodi od upravnih i administrativnih pristojbi, pristojbi po posebnim propisima i naknada u promatranom razdoblju ostvareni su u iznosu od </w:t>
      </w:r>
      <w:r w:rsidR="00023288" w:rsidRPr="00023288">
        <w:rPr>
          <w:rFonts w:eastAsia="Times New Roman" w:cstheme="minorHAnsi"/>
          <w:bCs/>
          <w:lang w:val="sl-SI"/>
        </w:rPr>
        <w:t>15.737.769,61</w:t>
      </w:r>
      <w:r w:rsidRPr="00023288">
        <w:rPr>
          <w:rFonts w:eastAsia="Times New Roman" w:cstheme="minorHAnsi"/>
          <w:bCs/>
          <w:lang w:val="sl-SI"/>
        </w:rPr>
        <w:t xml:space="preserve"> EUR, što predstavlja udio od 99,5</w:t>
      </w:r>
      <w:r w:rsidR="00023288" w:rsidRPr="00023288">
        <w:rPr>
          <w:rFonts w:eastAsia="Times New Roman" w:cstheme="minorHAnsi"/>
          <w:bCs/>
          <w:lang w:val="sl-SI"/>
        </w:rPr>
        <w:t>5</w:t>
      </w:r>
      <w:r w:rsidR="00AD3ECC" w:rsidRPr="00023288">
        <w:rPr>
          <w:rFonts w:eastAsia="Times New Roman" w:cstheme="minorHAnsi"/>
          <w:bCs/>
          <w:lang w:val="sl-SI"/>
        </w:rPr>
        <w:t>% u ukupno ostvarenim prihodima poslovanja</w:t>
      </w:r>
      <w:r w:rsidRPr="00023288">
        <w:rPr>
          <w:rFonts w:eastAsia="Times New Roman" w:cstheme="minorHAnsi"/>
          <w:bCs/>
          <w:lang w:val="sl-SI"/>
        </w:rPr>
        <w:t>.</w:t>
      </w:r>
    </w:p>
    <w:p w14:paraId="7340C167" w14:textId="493038D1" w:rsidR="007F7BDE" w:rsidRPr="00023288" w:rsidRDefault="007F7BDE" w:rsidP="007F7BDE">
      <w:pPr>
        <w:keepNext/>
        <w:overflowPunct w:val="0"/>
        <w:autoSpaceDE w:val="0"/>
        <w:autoSpaceDN w:val="0"/>
        <w:adjustRightInd w:val="0"/>
        <w:spacing w:after="120" w:line="240" w:lineRule="auto"/>
        <w:jc w:val="both"/>
        <w:textAlignment w:val="baseline"/>
        <w:outlineLvl w:val="7"/>
        <w:rPr>
          <w:rFonts w:eastAsia="Times New Roman" w:cstheme="minorHAnsi"/>
          <w:bCs/>
          <w:lang w:val="sl-SI"/>
        </w:rPr>
      </w:pPr>
      <w:r w:rsidRPr="00023288">
        <w:rPr>
          <w:rFonts w:eastAsia="Times New Roman" w:cstheme="minorHAnsi"/>
          <w:bCs/>
          <w:lang w:val="sl-SI"/>
        </w:rPr>
        <w:t>Prihodi po posebnim propisima, koji se najvećim dijelom odnose na naknade za uporabu radiofrekvencijskog spektra, naknade za uporabu adresa i brojeva, naknade za obavljanje poslova HAKOM-a u području poštanskih i željezničkih usluga te drugih poslova u području elektroničkih komunikacija, su u promatranom razdoblju os</w:t>
      </w:r>
      <w:r w:rsidR="00C9278B" w:rsidRPr="00023288">
        <w:rPr>
          <w:rFonts w:eastAsia="Times New Roman" w:cstheme="minorHAnsi"/>
          <w:bCs/>
          <w:lang w:val="sl-SI"/>
        </w:rPr>
        <w:t xml:space="preserve">tvareni u iznosu od </w:t>
      </w:r>
      <w:r w:rsidR="00023288" w:rsidRPr="00023288">
        <w:rPr>
          <w:rFonts w:eastAsia="Times New Roman" w:cstheme="minorHAnsi"/>
          <w:bCs/>
          <w:lang w:val="sl-SI"/>
        </w:rPr>
        <w:t>15.737.769,61</w:t>
      </w:r>
      <w:r w:rsidR="00B25EDB" w:rsidRPr="00023288">
        <w:rPr>
          <w:rFonts w:eastAsia="Times New Roman" w:cstheme="minorHAnsi"/>
          <w:bCs/>
          <w:lang w:val="sl-SI"/>
        </w:rPr>
        <w:t xml:space="preserve"> </w:t>
      </w:r>
      <w:r w:rsidRPr="00023288">
        <w:rPr>
          <w:rFonts w:eastAsia="Times New Roman" w:cstheme="minorHAnsi"/>
          <w:bCs/>
          <w:lang w:val="sl-SI"/>
        </w:rPr>
        <w:t xml:space="preserve">EUR, što je </w:t>
      </w:r>
      <w:r w:rsidR="00023288" w:rsidRPr="00023288">
        <w:rPr>
          <w:rFonts w:eastAsia="Times New Roman" w:cstheme="minorHAnsi"/>
          <w:bCs/>
          <w:lang w:val="sl-SI"/>
        </w:rPr>
        <w:t>14,16</w:t>
      </w:r>
      <w:r w:rsidRPr="00023288">
        <w:rPr>
          <w:rFonts w:eastAsia="Times New Roman" w:cstheme="minorHAnsi"/>
          <w:bCs/>
          <w:lang w:val="sl-SI"/>
        </w:rPr>
        <w:t xml:space="preserve">% više u odnosu na ostvarenje u prethodnom izvještajnom razdoblju. </w:t>
      </w:r>
    </w:p>
    <w:p w14:paraId="3F1F422D" w14:textId="3AC3202A" w:rsidR="000F7E6F" w:rsidRPr="000F7E6F" w:rsidRDefault="00933A43" w:rsidP="007F7BDE">
      <w:pPr>
        <w:keepNext/>
        <w:overflowPunct w:val="0"/>
        <w:autoSpaceDE w:val="0"/>
        <w:autoSpaceDN w:val="0"/>
        <w:adjustRightInd w:val="0"/>
        <w:spacing w:after="120" w:line="240" w:lineRule="auto"/>
        <w:jc w:val="both"/>
        <w:textAlignment w:val="baseline"/>
        <w:outlineLvl w:val="7"/>
        <w:rPr>
          <w:rFonts w:eastAsia="Times New Roman" w:cstheme="minorHAnsi"/>
          <w:bCs/>
          <w:lang w:val="sl-SI"/>
        </w:rPr>
      </w:pPr>
      <w:r w:rsidRPr="00933A43">
        <w:rPr>
          <w:rFonts w:eastAsia="Times New Roman" w:cstheme="minorHAnsi"/>
          <w:bCs/>
          <w:lang w:val="sl-SI"/>
        </w:rPr>
        <w:t>Na povećanje prihoda je najvećim dijelom utjecala veća naplaćenost naknada za uporabu radiofrekvencijskog spektra za javnu elektroničku komunikacijsku mrežu čiji su računi, temeljem članka 28. Pravilnika o plaćanju naknada za obavljanje poslova HAKOM-a (NN br. 154/22 – u primjeni od 1. siječnja 2023.), izdani u drugoj polovici 2023. s dospijećem i ostvarenom naplatom u 2024.</w:t>
      </w:r>
    </w:p>
    <w:p w14:paraId="1801DD44" w14:textId="77777777" w:rsidR="008F4450" w:rsidRPr="00933A43" w:rsidRDefault="008F4450" w:rsidP="008F4450">
      <w:pPr>
        <w:keepNext/>
        <w:overflowPunct w:val="0"/>
        <w:autoSpaceDE w:val="0"/>
        <w:autoSpaceDN w:val="0"/>
        <w:adjustRightInd w:val="0"/>
        <w:spacing w:after="120" w:line="240" w:lineRule="auto"/>
        <w:jc w:val="both"/>
        <w:textAlignment w:val="baseline"/>
        <w:outlineLvl w:val="7"/>
        <w:rPr>
          <w:rFonts w:eastAsia="Times New Roman" w:cstheme="minorHAnsi"/>
          <w:b/>
          <w:bCs/>
          <w:lang w:val="sl-SI"/>
        </w:rPr>
      </w:pPr>
      <w:r w:rsidRPr="00933A43">
        <w:rPr>
          <w:rFonts w:eastAsia="Times New Roman" w:cstheme="minorHAnsi"/>
          <w:bCs/>
          <w:lang w:val="sl-SI"/>
        </w:rPr>
        <w:t xml:space="preserve">Kazne, upravne mjere i ostali prihodi </w:t>
      </w:r>
      <w:r w:rsidRPr="00933A43">
        <w:rPr>
          <w:rFonts w:eastAsia="Times New Roman" w:cstheme="minorHAnsi"/>
          <w:b/>
          <w:bCs/>
          <w:lang w:val="sl-SI"/>
        </w:rPr>
        <w:t>(68)</w:t>
      </w:r>
    </w:p>
    <w:p w14:paraId="76F87711" w14:textId="46917261" w:rsidR="008F4450" w:rsidRPr="009C3CFA" w:rsidRDefault="008F4450" w:rsidP="008F4450">
      <w:pPr>
        <w:keepNext/>
        <w:overflowPunct w:val="0"/>
        <w:autoSpaceDE w:val="0"/>
        <w:autoSpaceDN w:val="0"/>
        <w:adjustRightInd w:val="0"/>
        <w:spacing w:after="120" w:line="240" w:lineRule="auto"/>
        <w:jc w:val="both"/>
        <w:textAlignment w:val="baseline"/>
        <w:outlineLvl w:val="7"/>
        <w:rPr>
          <w:rFonts w:eastAsia="Times New Roman" w:cstheme="minorHAnsi"/>
          <w:bCs/>
          <w:highlight w:val="yellow"/>
          <w:lang w:val="sl-SI"/>
        </w:rPr>
      </w:pPr>
      <w:r w:rsidRPr="00933A43">
        <w:rPr>
          <w:rFonts w:eastAsia="Times New Roman" w:cstheme="minorHAnsi"/>
          <w:bCs/>
          <w:lang w:val="sl-SI"/>
        </w:rPr>
        <w:t>Ostali prihodi su u 202</w:t>
      </w:r>
      <w:r w:rsidR="00933A43" w:rsidRPr="00933A43">
        <w:rPr>
          <w:rFonts w:eastAsia="Times New Roman" w:cstheme="minorHAnsi"/>
          <w:bCs/>
          <w:lang w:val="sl-SI"/>
        </w:rPr>
        <w:t>4</w:t>
      </w:r>
      <w:r w:rsidRPr="00933A43">
        <w:rPr>
          <w:rFonts w:eastAsia="Times New Roman" w:cstheme="minorHAnsi"/>
          <w:bCs/>
          <w:lang w:val="sl-SI"/>
        </w:rPr>
        <w:t xml:space="preserve">. ostvareni u iznosu od </w:t>
      </w:r>
      <w:r w:rsidR="00933A43" w:rsidRPr="00933A43">
        <w:rPr>
          <w:rFonts w:eastAsia="Times New Roman" w:cstheme="minorHAnsi"/>
          <w:bCs/>
          <w:lang w:val="sl-SI"/>
        </w:rPr>
        <w:t>8.455,63</w:t>
      </w:r>
      <w:r w:rsidRPr="00933A43">
        <w:rPr>
          <w:rFonts w:eastAsia="Times New Roman" w:cstheme="minorHAnsi"/>
          <w:bCs/>
          <w:lang w:val="sl-SI"/>
        </w:rPr>
        <w:t xml:space="preserve"> EUR </w:t>
      </w:r>
      <w:r w:rsidR="00933A43" w:rsidRPr="00933A43">
        <w:rPr>
          <w:rFonts w:eastAsia="Times New Roman" w:cstheme="minorHAnsi"/>
          <w:bCs/>
          <w:lang w:val="sl-SI"/>
        </w:rPr>
        <w:t>te se najvećim dijelom odnose na povrat sredstava za financiranje studija od strane zaposlenika koji nisu izvršili obveze temeljem ugovora o školovanju, kao i na uplatu sredstava od strane francuskog regulatora za elektroničke komunikacije koji je HAKOM-u doznačio novčana sredstva u svrhu sudjelovanja HAKOM-ovih stručnjaka na edukaciji vezanoj za kontrolu radiofrekvencijskog spektra za vrijeme održavan</w:t>
      </w:r>
      <w:r w:rsidR="00933A43">
        <w:rPr>
          <w:rFonts w:eastAsia="Times New Roman" w:cstheme="minorHAnsi"/>
          <w:bCs/>
          <w:lang w:val="sl-SI"/>
        </w:rPr>
        <w:t>ja Olimpijskih igara u Parizu.</w:t>
      </w:r>
    </w:p>
    <w:p w14:paraId="34FCBF70" w14:textId="77777777" w:rsidR="008F4450" w:rsidRPr="00933A43" w:rsidRDefault="008F4450" w:rsidP="007F7BDE">
      <w:pPr>
        <w:keepNext/>
        <w:overflowPunct w:val="0"/>
        <w:autoSpaceDE w:val="0"/>
        <w:autoSpaceDN w:val="0"/>
        <w:adjustRightInd w:val="0"/>
        <w:spacing w:after="120" w:line="240" w:lineRule="auto"/>
        <w:jc w:val="both"/>
        <w:textAlignment w:val="baseline"/>
        <w:outlineLvl w:val="7"/>
        <w:rPr>
          <w:rFonts w:eastAsia="Times New Roman" w:cstheme="minorHAnsi"/>
          <w:b/>
          <w:bCs/>
          <w:lang w:val="sl-SI"/>
        </w:rPr>
      </w:pPr>
      <w:r w:rsidRPr="00933A43">
        <w:rPr>
          <w:rFonts w:eastAsia="Times New Roman" w:cstheme="minorHAnsi"/>
          <w:bCs/>
          <w:lang w:val="sl-SI"/>
        </w:rPr>
        <w:t xml:space="preserve">Prihodi od prodaje proizvedene dugotrajne imovine </w:t>
      </w:r>
      <w:r w:rsidRPr="00933A43">
        <w:rPr>
          <w:rFonts w:eastAsia="Times New Roman" w:cstheme="minorHAnsi"/>
          <w:b/>
          <w:bCs/>
          <w:lang w:val="sl-SI"/>
        </w:rPr>
        <w:t>(72)</w:t>
      </w:r>
    </w:p>
    <w:p w14:paraId="34651245" w14:textId="77777777" w:rsidR="00933A43" w:rsidRPr="00933A43" w:rsidRDefault="008F4450" w:rsidP="00933A43">
      <w:pPr>
        <w:keepNext/>
        <w:overflowPunct w:val="0"/>
        <w:autoSpaceDE w:val="0"/>
        <w:autoSpaceDN w:val="0"/>
        <w:adjustRightInd w:val="0"/>
        <w:spacing w:after="120" w:line="240" w:lineRule="auto"/>
        <w:jc w:val="both"/>
        <w:textAlignment w:val="baseline"/>
        <w:outlineLvl w:val="7"/>
        <w:rPr>
          <w:rFonts w:eastAsia="Times New Roman" w:cstheme="minorHAnsi"/>
          <w:bCs/>
          <w:lang w:val="sl-SI"/>
        </w:rPr>
      </w:pPr>
      <w:r w:rsidRPr="00933A43">
        <w:rPr>
          <w:rFonts w:eastAsia="Times New Roman" w:cstheme="minorHAnsi"/>
          <w:bCs/>
          <w:lang w:val="sl-SI"/>
        </w:rPr>
        <w:t xml:space="preserve">Prihodi od prodaje proizvedene dugotrajne imovine u iznosu od </w:t>
      </w:r>
      <w:r w:rsidR="00933A43" w:rsidRPr="00933A43">
        <w:rPr>
          <w:rFonts w:eastAsia="Times New Roman" w:cstheme="minorHAnsi"/>
          <w:bCs/>
          <w:lang w:val="sl-SI"/>
        </w:rPr>
        <w:t>112.213,12</w:t>
      </w:r>
      <w:r w:rsidRPr="00933A43">
        <w:rPr>
          <w:rFonts w:eastAsia="Times New Roman" w:cstheme="minorHAnsi"/>
          <w:bCs/>
          <w:lang w:val="sl-SI"/>
        </w:rPr>
        <w:t xml:space="preserve"> EUR su ostvareni </w:t>
      </w:r>
      <w:r w:rsidR="00933A43" w:rsidRPr="00933A43">
        <w:rPr>
          <w:rFonts w:eastAsia="Times New Roman" w:cstheme="minorHAnsi"/>
          <w:bCs/>
          <w:lang w:val="sl-SI"/>
        </w:rPr>
        <w:t xml:space="preserve">uslijed prodaje osam službenih vozila starijih od devet godina nakon što su kupljena nova vozila. </w:t>
      </w:r>
    </w:p>
    <w:p w14:paraId="103E3EFB" w14:textId="280ECDBF" w:rsidR="008F4450" w:rsidRDefault="00933A43" w:rsidP="00933A43">
      <w:pPr>
        <w:keepNext/>
        <w:overflowPunct w:val="0"/>
        <w:autoSpaceDE w:val="0"/>
        <w:autoSpaceDN w:val="0"/>
        <w:adjustRightInd w:val="0"/>
        <w:spacing w:after="120" w:line="240" w:lineRule="auto"/>
        <w:jc w:val="both"/>
        <w:textAlignment w:val="baseline"/>
        <w:outlineLvl w:val="7"/>
        <w:rPr>
          <w:rFonts w:eastAsia="Times New Roman" w:cstheme="minorHAnsi"/>
          <w:bCs/>
          <w:lang w:val="sl-SI"/>
        </w:rPr>
      </w:pPr>
      <w:r w:rsidRPr="00933A43">
        <w:rPr>
          <w:rFonts w:eastAsia="Times New Roman" w:cstheme="minorHAnsi"/>
          <w:bCs/>
          <w:lang w:val="sl-SI"/>
        </w:rPr>
        <w:t>Prodaja službenih vozila je obavljena provedbom javnog natječaja putem prikupljanja zatvorenih pisanih ponuda, a kriterij za odabir ponude je bila najviša ponuđena kupoprodajna cijena za svako pojedino vozilo.</w:t>
      </w:r>
    </w:p>
    <w:p w14:paraId="5AF7DC1F" w14:textId="77777777" w:rsidR="00933A43" w:rsidRPr="009C3CFA" w:rsidRDefault="00933A43" w:rsidP="00933A43">
      <w:pPr>
        <w:keepNext/>
        <w:overflowPunct w:val="0"/>
        <w:autoSpaceDE w:val="0"/>
        <w:autoSpaceDN w:val="0"/>
        <w:adjustRightInd w:val="0"/>
        <w:spacing w:after="120" w:line="240" w:lineRule="auto"/>
        <w:jc w:val="both"/>
        <w:textAlignment w:val="baseline"/>
        <w:outlineLvl w:val="7"/>
        <w:rPr>
          <w:rFonts w:eastAsia="Times New Roman" w:cstheme="minorHAnsi"/>
          <w:bCs/>
          <w:highlight w:val="yellow"/>
          <w:lang w:val="sl-SI"/>
        </w:rPr>
      </w:pPr>
    </w:p>
    <w:p w14:paraId="3F02E918" w14:textId="6FB27262" w:rsidR="00EA76A8" w:rsidRPr="00933A43" w:rsidRDefault="00EA76A8" w:rsidP="00297B3B">
      <w:pPr>
        <w:keepNext/>
        <w:keepLines/>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Rashodi HAKOM-a u 202</w:t>
      </w:r>
      <w:r w:rsidR="00933A43" w:rsidRPr="00933A43">
        <w:rPr>
          <w:rFonts w:eastAsia="Times New Roman" w:cstheme="minorHAnsi"/>
          <w:lang w:val="sl-SI"/>
        </w:rPr>
        <w:t>4</w:t>
      </w:r>
      <w:r w:rsidR="00423C62">
        <w:rPr>
          <w:rFonts w:eastAsia="Times New Roman" w:cstheme="minorHAnsi"/>
          <w:lang w:val="sl-SI"/>
        </w:rPr>
        <w:t>.</w:t>
      </w:r>
      <w:r w:rsidR="005646DB" w:rsidRPr="00933A43">
        <w:rPr>
          <w:rFonts w:eastAsia="Times New Roman" w:cstheme="minorHAnsi"/>
          <w:lang w:val="sl-SI"/>
        </w:rPr>
        <w:t xml:space="preserve"> </w:t>
      </w:r>
      <w:r w:rsidRPr="00933A43">
        <w:rPr>
          <w:rFonts w:eastAsia="Times New Roman" w:cstheme="minorHAnsi"/>
          <w:lang w:val="sl-SI"/>
        </w:rPr>
        <w:t xml:space="preserve">ostvareni su u iznosu od </w:t>
      </w:r>
      <w:r w:rsidR="00933A43" w:rsidRPr="00933A43">
        <w:rPr>
          <w:rFonts w:eastAsia="Times New Roman" w:cstheme="minorHAnsi"/>
          <w:lang w:val="sl-SI"/>
        </w:rPr>
        <w:t>13.791.728,85</w:t>
      </w:r>
      <w:r w:rsidRPr="00933A43">
        <w:rPr>
          <w:rFonts w:eastAsia="Times New Roman" w:cstheme="minorHAnsi"/>
          <w:lang w:val="sl-SI"/>
        </w:rPr>
        <w:t xml:space="preserve"> EUR, a sastoje se od:</w:t>
      </w:r>
    </w:p>
    <w:p w14:paraId="6DB50340" w14:textId="5A1FF73F" w:rsidR="00EA76A8" w:rsidRPr="00933A43" w:rsidRDefault="00EA76A8"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 xml:space="preserve">rashoda za zaposlene u iznosu od </w:t>
      </w:r>
      <w:r w:rsidR="00933A43" w:rsidRPr="00933A43">
        <w:rPr>
          <w:rFonts w:eastAsia="Times New Roman" w:cstheme="minorHAnsi"/>
          <w:lang w:val="sl-SI"/>
        </w:rPr>
        <w:t>8.367.476,91</w:t>
      </w:r>
      <w:r w:rsidRPr="00933A43">
        <w:rPr>
          <w:rFonts w:eastAsia="Times New Roman" w:cstheme="minorHAnsi"/>
          <w:lang w:val="sl-SI"/>
        </w:rPr>
        <w:t xml:space="preserve"> EUR,</w:t>
      </w:r>
    </w:p>
    <w:p w14:paraId="544A9DAB" w14:textId="623F8A7F" w:rsidR="00EA76A8" w:rsidRPr="00933A43" w:rsidRDefault="00EA76A8"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 xml:space="preserve">materijalnih rashoda u iznosu od </w:t>
      </w:r>
      <w:r w:rsidR="00933A43" w:rsidRPr="00933A43">
        <w:rPr>
          <w:rFonts w:eastAsia="Times New Roman" w:cstheme="minorHAnsi"/>
          <w:lang w:val="sl-SI"/>
        </w:rPr>
        <w:t>4.239.855,65</w:t>
      </w:r>
      <w:r w:rsidRPr="00933A43">
        <w:rPr>
          <w:rFonts w:eastAsia="Times New Roman" w:cstheme="minorHAnsi"/>
          <w:lang w:val="sl-SI"/>
        </w:rPr>
        <w:t xml:space="preserve"> EUR,</w:t>
      </w:r>
    </w:p>
    <w:p w14:paraId="4D8F86DB" w14:textId="6D97A90F" w:rsidR="00EA76A8" w:rsidRPr="00933A43" w:rsidRDefault="00EA76A8"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 xml:space="preserve">financijskih rashoda u iznosu od </w:t>
      </w:r>
      <w:r w:rsidR="00933A43" w:rsidRPr="00933A43">
        <w:rPr>
          <w:rFonts w:eastAsia="Times New Roman" w:cstheme="minorHAnsi"/>
          <w:lang w:val="sl-SI"/>
        </w:rPr>
        <w:t>5.276,52</w:t>
      </w:r>
      <w:r w:rsidRPr="00933A43">
        <w:rPr>
          <w:rFonts w:eastAsia="Times New Roman" w:cstheme="minorHAnsi"/>
          <w:lang w:val="sl-SI"/>
        </w:rPr>
        <w:t xml:space="preserve"> EUR,</w:t>
      </w:r>
    </w:p>
    <w:p w14:paraId="6E3D9729" w14:textId="0C79E0DE" w:rsidR="00933A43" w:rsidRPr="00933A43" w:rsidRDefault="00933A43"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rashoda za nabavu neproizvedene dugotrajne imovine u iznosu od 21.400,00 EUR,</w:t>
      </w:r>
    </w:p>
    <w:p w14:paraId="16356251" w14:textId="66C1E909" w:rsidR="00EA76A8" w:rsidRPr="00933A43" w:rsidRDefault="00EA76A8"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 xml:space="preserve">rashoda za nabavu </w:t>
      </w:r>
      <w:r w:rsidR="00C9278B" w:rsidRPr="00933A43">
        <w:rPr>
          <w:rFonts w:eastAsia="Times New Roman" w:cstheme="minorHAnsi"/>
          <w:lang w:val="sl-SI"/>
        </w:rPr>
        <w:t>proizvedene</w:t>
      </w:r>
      <w:r w:rsidRPr="00933A43">
        <w:rPr>
          <w:rFonts w:eastAsia="Times New Roman" w:cstheme="minorHAnsi"/>
          <w:lang w:val="sl-SI"/>
        </w:rPr>
        <w:t xml:space="preserve"> dugotrajne imovine u iznosu od </w:t>
      </w:r>
      <w:r w:rsidR="00933A43" w:rsidRPr="00933A43">
        <w:rPr>
          <w:rFonts w:eastAsia="Times New Roman" w:cstheme="minorHAnsi"/>
          <w:lang w:val="sl-SI"/>
        </w:rPr>
        <w:t>832.740,37</w:t>
      </w:r>
      <w:r w:rsidRPr="00933A43">
        <w:rPr>
          <w:rFonts w:eastAsia="Times New Roman" w:cstheme="minorHAnsi"/>
          <w:lang w:val="sl-SI"/>
        </w:rPr>
        <w:t xml:space="preserve"> EUR,</w:t>
      </w:r>
    </w:p>
    <w:p w14:paraId="19098057" w14:textId="56E70831" w:rsidR="00EA76A8" w:rsidRPr="00933A43" w:rsidRDefault="00EA76A8" w:rsidP="00297B3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933A43">
        <w:rPr>
          <w:rFonts w:eastAsia="Times New Roman" w:cstheme="minorHAnsi"/>
          <w:lang w:val="sl-SI"/>
        </w:rPr>
        <w:t xml:space="preserve">rashoda za dodatna ulaganja na nefinancijskoj imovini u iznosu od </w:t>
      </w:r>
      <w:r w:rsidR="00933A43" w:rsidRPr="00933A43">
        <w:rPr>
          <w:rFonts w:eastAsia="Times New Roman" w:cstheme="minorHAnsi"/>
          <w:lang w:val="sl-SI"/>
        </w:rPr>
        <w:t xml:space="preserve">324.979,40 </w:t>
      </w:r>
      <w:r w:rsidRPr="00933A43">
        <w:rPr>
          <w:rFonts w:eastAsia="Times New Roman" w:cstheme="minorHAnsi"/>
          <w:lang w:val="sl-SI"/>
        </w:rPr>
        <w:t>EUR.</w:t>
      </w:r>
    </w:p>
    <w:p w14:paraId="729AF2B8" w14:textId="094BE907" w:rsidR="00EA76A8" w:rsidRPr="009C3CFA" w:rsidRDefault="00EA76A8" w:rsidP="00297B3B">
      <w:pPr>
        <w:overflowPunct w:val="0"/>
        <w:autoSpaceDE w:val="0"/>
        <w:autoSpaceDN w:val="0"/>
        <w:adjustRightInd w:val="0"/>
        <w:spacing w:after="120" w:line="240" w:lineRule="auto"/>
        <w:jc w:val="both"/>
        <w:textAlignment w:val="baseline"/>
        <w:rPr>
          <w:rFonts w:eastAsia="Times New Roman" w:cstheme="minorHAnsi"/>
          <w:highlight w:val="yellow"/>
          <w:lang w:val="sl-SI"/>
        </w:rPr>
      </w:pPr>
    </w:p>
    <w:p w14:paraId="3D5E71E2" w14:textId="09D885D5" w:rsidR="00AE191E" w:rsidRDefault="00EA76A8" w:rsidP="00297B3B">
      <w:pPr>
        <w:overflowPunct w:val="0"/>
        <w:autoSpaceDE w:val="0"/>
        <w:autoSpaceDN w:val="0"/>
        <w:adjustRightInd w:val="0"/>
        <w:spacing w:after="120" w:line="240" w:lineRule="auto"/>
        <w:jc w:val="both"/>
        <w:textAlignment w:val="baseline"/>
        <w:rPr>
          <w:rFonts w:eastAsia="Times New Roman" w:cstheme="minorHAnsi"/>
          <w:lang w:val="sl-SI"/>
        </w:rPr>
      </w:pPr>
      <w:r w:rsidRPr="00720713">
        <w:rPr>
          <w:rFonts w:eastAsia="Times New Roman" w:cstheme="minorHAnsi"/>
          <w:lang w:val="sl-SI"/>
        </w:rPr>
        <w:t xml:space="preserve">Rashodi za zaposlene su u promatranom razdoblju ostvareni u iznosu od </w:t>
      </w:r>
      <w:r w:rsidR="00933A43" w:rsidRPr="00720713">
        <w:rPr>
          <w:rFonts w:eastAsia="Times New Roman" w:cstheme="minorHAnsi"/>
          <w:lang w:val="sl-SI"/>
        </w:rPr>
        <w:t>8.367.476,91</w:t>
      </w:r>
      <w:r w:rsidRPr="00720713">
        <w:rPr>
          <w:rFonts w:eastAsia="Times New Roman" w:cstheme="minorHAnsi"/>
          <w:lang w:val="sl-SI"/>
        </w:rPr>
        <w:t xml:space="preserve"> EUR, što predstavlja povećanje od </w:t>
      </w:r>
      <w:r w:rsidR="00933A43" w:rsidRPr="00720713">
        <w:rPr>
          <w:rFonts w:eastAsia="Times New Roman" w:cstheme="minorHAnsi"/>
          <w:lang w:val="sl-SI"/>
        </w:rPr>
        <w:t>14,74</w:t>
      </w:r>
      <w:r w:rsidRPr="00720713">
        <w:rPr>
          <w:rFonts w:eastAsia="Times New Roman" w:cstheme="minorHAnsi"/>
          <w:lang w:val="sl-SI"/>
        </w:rPr>
        <w:t xml:space="preserve">% u odnosu na ostvarenje u promatranom razdoblju prethodne godine. </w:t>
      </w:r>
      <w:r w:rsidR="007F7BDE" w:rsidRPr="00720713">
        <w:rPr>
          <w:rFonts w:eastAsia="Times New Roman" w:cstheme="minorHAnsi"/>
          <w:lang w:val="sl-SI"/>
        </w:rPr>
        <w:t>Povećanje rashoda za zaposlene posljedica je povećanja ukupnog iznosa troška dodatka za radni staž</w:t>
      </w:r>
      <w:r w:rsidR="001133E3" w:rsidRPr="00720713">
        <w:rPr>
          <w:rFonts w:eastAsia="Times New Roman" w:cstheme="minorHAnsi"/>
          <w:lang w:val="sl-SI"/>
        </w:rPr>
        <w:t xml:space="preserve"> i usklađenja plaće s povećanim troškovima života</w:t>
      </w:r>
      <w:r w:rsidR="00933A43" w:rsidRPr="00720713">
        <w:rPr>
          <w:rFonts w:eastAsia="Times New Roman" w:cstheme="minorHAnsi"/>
          <w:lang w:val="sl-SI"/>
        </w:rPr>
        <w:t xml:space="preserve"> te uređenja unutarnjeg ustrojstva, sistematizacije radnih mjesta i plaće zaposlenika</w:t>
      </w:r>
      <w:r w:rsidR="007F7BDE" w:rsidRPr="00720713">
        <w:rPr>
          <w:rFonts w:eastAsia="Times New Roman" w:cstheme="minorHAnsi"/>
          <w:lang w:val="sl-SI"/>
        </w:rPr>
        <w:t>.</w:t>
      </w:r>
      <w:r w:rsidR="00933A43" w:rsidRPr="00720713">
        <w:rPr>
          <w:rFonts w:eastAsia="Times New Roman" w:cstheme="minorHAnsi"/>
          <w:lang w:val="sl-SI"/>
        </w:rPr>
        <w:t xml:space="preserve"> HAKOM je u 2024. počeo primjenjivati osnovicu za obračun plaće sukladno Zakonu o plaćama u državnoj službi i javnim s</w:t>
      </w:r>
      <w:r w:rsidR="002A5B82">
        <w:rPr>
          <w:rFonts w:eastAsia="Times New Roman" w:cstheme="minorHAnsi"/>
          <w:lang w:val="sl-SI"/>
        </w:rPr>
        <w:t>l</w:t>
      </w:r>
      <w:r w:rsidR="00933A43" w:rsidRPr="00720713">
        <w:rPr>
          <w:rFonts w:eastAsia="Times New Roman" w:cstheme="minorHAnsi"/>
          <w:lang w:val="sl-SI"/>
        </w:rPr>
        <w:t xml:space="preserve">užbama (NN </w:t>
      </w:r>
      <w:r w:rsidR="00D04A6D">
        <w:rPr>
          <w:rFonts w:eastAsia="Times New Roman" w:cstheme="minorHAnsi"/>
          <w:lang w:val="sl-SI"/>
        </w:rPr>
        <w:t xml:space="preserve">br. </w:t>
      </w:r>
      <w:r w:rsidR="00933A43" w:rsidRPr="00720713">
        <w:rPr>
          <w:rFonts w:eastAsia="Times New Roman" w:cstheme="minorHAnsi"/>
          <w:lang w:val="sl-SI"/>
        </w:rPr>
        <w:t>155/23).</w:t>
      </w:r>
      <w:r w:rsidR="00677780" w:rsidRPr="00720713">
        <w:rPr>
          <w:rFonts w:eastAsia="Times New Roman" w:cstheme="minorHAnsi"/>
          <w:lang w:val="sl-SI"/>
        </w:rPr>
        <w:t xml:space="preserve"> Ostali rashodi za zaposlene ostvareni su u iznosu od </w:t>
      </w:r>
      <w:r w:rsidR="00720713" w:rsidRPr="00720713">
        <w:rPr>
          <w:rFonts w:eastAsia="Times New Roman" w:cstheme="minorHAnsi"/>
          <w:lang w:val="sl-SI"/>
        </w:rPr>
        <w:t>1.071.973,37</w:t>
      </w:r>
      <w:r w:rsidR="00981BD7" w:rsidRPr="00720713">
        <w:rPr>
          <w:rFonts w:eastAsia="Times New Roman" w:cstheme="minorHAnsi"/>
          <w:lang w:val="sl-SI"/>
        </w:rPr>
        <w:t xml:space="preserve"> </w:t>
      </w:r>
      <w:r w:rsidR="00677780" w:rsidRPr="00720713">
        <w:rPr>
          <w:rFonts w:eastAsia="Times New Roman" w:cstheme="minorHAnsi"/>
          <w:lang w:val="sl-SI"/>
        </w:rPr>
        <w:t xml:space="preserve">EUR, </w:t>
      </w:r>
      <w:r w:rsidR="0004561C" w:rsidRPr="00720713">
        <w:rPr>
          <w:rFonts w:eastAsia="Times New Roman" w:cstheme="minorHAnsi"/>
          <w:lang w:val="sl-SI"/>
        </w:rPr>
        <w:t xml:space="preserve">a </w:t>
      </w:r>
      <w:r w:rsidR="00677780" w:rsidRPr="00720713">
        <w:rPr>
          <w:rFonts w:eastAsia="Times New Roman" w:cstheme="minorHAnsi"/>
          <w:lang w:val="sl-SI"/>
        </w:rPr>
        <w:t xml:space="preserve">u odnosu na promatrano razdoblje prethodne godine </w:t>
      </w:r>
      <w:r w:rsidR="00981BD7" w:rsidRPr="00720713">
        <w:rPr>
          <w:rFonts w:eastAsia="Times New Roman" w:cstheme="minorHAnsi"/>
          <w:lang w:val="sl-SI"/>
        </w:rPr>
        <w:t>viši</w:t>
      </w:r>
      <w:r w:rsidR="00677780" w:rsidRPr="00720713">
        <w:rPr>
          <w:rFonts w:eastAsia="Times New Roman" w:cstheme="minorHAnsi"/>
          <w:lang w:val="sl-SI"/>
        </w:rPr>
        <w:t xml:space="preserve"> su za </w:t>
      </w:r>
      <w:r w:rsidR="00720713" w:rsidRPr="00720713">
        <w:rPr>
          <w:rFonts w:eastAsia="Times New Roman" w:cstheme="minorHAnsi"/>
          <w:lang w:val="sl-SI"/>
        </w:rPr>
        <w:t>13,46</w:t>
      </w:r>
      <w:r w:rsidR="00677780" w:rsidRPr="00720713">
        <w:rPr>
          <w:rFonts w:eastAsia="Times New Roman" w:cstheme="minorHAnsi"/>
          <w:lang w:val="sl-SI"/>
        </w:rPr>
        <w:t>%</w:t>
      </w:r>
      <w:r w:rsidR="00111F7E" w:rsidRPr="00720713">
        <w:rPr>
          <w:rFonts w:eastAsia="Times New Roman" w:cstheme="minorHAnsi"/>
          <w:lang w:val="sl-SI"/>
        </w:rPr>
        <w:t>.</w:t>
      </w:r>
    </w:p>
    <w:p w14:paraId="6F583291" w14:textId="77777777" w:rsidR="00AE191E" w:rsidRDefault="00AE191E">
      <w:pPr>
        <w:rPr>
          <w:rFonts w:eastAsia="Times New Roman" w:cstheme="minorHAnsi"/>
          <w:lang w:val="sl-SI"/>
        </w:rPr>
      </w:pPr>
      <w:r>
        <w:rPr>
          <w:rFonts w:eastAsia="Times New Roman" w:cstheme="minorHAnsi"/>
          <w:lang w:val="sl-SI"/>
        </w:rPr>
        <w:br w:type="page"/>
      </w:r>
    </w:p>
    <w:p w14:paraId="6B43BA73" w14:textId="324E0E30" w:rsidR="00EA76A8" w:rsidRPr="00A439A9" w:rsidRDefault="00981BD7" w:rsidP="00297B3B">
      <w:pPr>
        <w:overflowPunct w:val="0"/>
        <w:autoSpaceDE w:val="0"/>
        <w:autoSpaceDN w:val="0"/>
        <w:adjustRightInd w:val="0"/>
        <w:spacing w:after="120" w:line="240" w:lineRule="auto"/>
        <w:jc w:val="both"/>
        <w:textAlignment w:val="baseline"/>
        <w:rPr>
          <w:rFonts w:eastAsia="Calibri" w:cstheme="minorHAnsi"/>
          <w:lang w:val="sl-SI"/>
        </w:rPr>
      </w:pPr>
      <w:r w:rsidRPr="00A439A9">
        <w:rPr>
          <w:rFonts w:eastAsia="Times New Roman" w:cstheme="minorHAnsi"/>
          <w:lang w:val="sl-SI"/>
        </w:rPr>
        <w:lastRenderedPageBreak/>
        <w:t>Materijalni rashodi</w:t>
      </w:r>
      <w:r w:rsidR="00EA76A8" w:rsidRPr="00A439A9">
        <w:rPr>
          <w:rFonts w:eastAsia="Times New Roman" w:cstheme="minorHAnsi"/>
          <w:lang w:val="sl-SI"/>
        </w:rPr>
        <w:t xml:space="preserve"> </w:t>
      </w:r>
      <w:r w:rsidRPr="00A439A9">
        <w:rPr>
          <w:rFonts w:eastAsia="Times New Roman" w:cstheme="minorHAnsi"/>
          <w:lang w:val="sl-SI"/>
        </w:rPr>
        <w:t>u</w:t>
      </w:r>
      <w:r w:rsidR="00EA76A8" w:rsidRPr="00A439A9">
        <w:rPr>
          <w:rFonts w:eastAsia="Times New Roman" w:cstheme="minorHAnsi"/>
          <w:lang w:val="sl-SI"/>
        </w:rPr>
        <w:t xml:space="preserve"> 202</w:t>
      </w:r>
      <w:r w:rsidR="00A439A9" w:rsidRPr="00A439A9">
        <w:rPr>
          <w:rFonts w:eastAsia="Times New Roman" w:cstheme="minorHAnsi"/>
          <w:lang w:val="sl-SI"/>
        </w:rPr>
        <w:t>4</w:t>
      </w:r>
      <w:r w:rsidR="00EA76A8" w:rsidRPr="00A439A9">
        <w:rPr>
          <w:rFonts w:eastAsia="Times New Roman" w:cstheme="minorHAnsi"/>
          <w:lang w:val="sl-SI"/>
        </w:rPr>
        <w:t xml:space="preserve">. ostvareni </w:t>
      </w:r>
      <w:r w:rsidRPr="00A439A9">
        <w:rPr>
          <w:rFonts w:eastAsia="Times New Roman" w:cstheme="minorHAnsi"/>
          <w:lang w:val="sl-SI"/>
        </w:rPr>
        <w:t xml:space="preserve">su </w:t>
      </w:r>
      <w:r w:rsidR="00EA76A8" w:rsidRPr="00A439A9">
        <w:rPr>
          <w:rFonts w:eastAsia="Times New Roman" w:cstheme="minorHAnsi"/>
          <w:lang w:val="sl-SI"/>
        </w:rPr>
        <w:t xml:space="preserve">u iznosu od </w:t>
      </w:r>
      <w:r w:rsidRPr="00A439A9">
        <w:rPr>
          <w:rFonts w:eastAsia="Calibri" w:cstheme="minorHAnsi"/>
          <w:lang w:val="sl-SI"/>
        </w:rPr>
        <w:t>4.</w:t>
      </w:r>
      <w:r w:rsidR="00A439A9" w:rsidRPr="00A439A9">
        <w:rPr>
          <w:rFonts w:eastAsia="Calibri" w:cstheme="minorHAnsi"/>
          <w:lang w:val="sl-SI"/>
        </w:rPr>
        <w:t>239.855,65</w:t>
      </w:r>
      <w:r w:rsidR="00EA76A8" w:rsidRPr="00A439A9">
        <w:rPr>
          <w:rFonts w:eastAsia="Calibri" w:cstheme="minorHAnsi"/>
          <w:lang w:val="sl-SI"/>
        </w:rPr>
        <w:t xml:space="preserve"> </w:t>
      </w:r>
      <w:r w:rsidR="00677780" w:rsidRPr="00A439A9">
        <w:rPr>
          <w:rFonts w:eastAsia="Calibri" w:cstheme="minorHAnsi"/>
          <w:lang w:val="sl-SI"/>
        </w:rPr>
        <w:t>EUR</w:t>
      </w:r>
      <w:r w:rsidR="00917D29" w:rsidRPr="00A439A9">
        <w:rPr>
          <w:rFonts w:eastAsia="Calibri" w:cstheme="minorHAnsi"/>
          <w:lang w:val="sl-SI"/>
        </w:rPr>
        <w:t xml:space="preserve">, što </w:t>
      </w:r>
      <w:r w:rsidR="00BB48C0" w:rsidRPr="00A439A9">
        <w:rPr>
          <w:rFonts w:eastAsia="Calibri" w:cstheme="minorHAnsi"/>
          <w:lang w:val="sl-SI"/>
        </w:rPr>
        <w:t xml:space="preserve">predstavlja </w:t>
      </w:r>
      <w:r w:rsidR="00A439A9" w:rsidRPr="00A439A9">
        <w:rPr>
          <w:rFonts w:eastAsia="Calibri" w:cstheme="minorHAnsi"/>
          <w:lang w:val="sl-SI"/>
        </w:rPr>
        <w:t>smanjenje</w:t>
      </w:r>
      <w:r w:rsidR="00BB48C0" w:rsidRPr="00A439A9">
        <w:rPr>
          <w:rFonts w:eastAsia="Calibri" w:cstheme="minorHAnsi"/>
          <w:lang w:val="sl-SI"/>
        </w:rPr>
        <w:t xml:space="preserve"> </w:t>
      </w:r>
      <w:r w:rsidR="00A439A9" w:rsidRPr="00A439A9">
        <w:rPr>
          <w:rFonts w:eastAsia="Calibri" w:cstheme="minorHAnsi"/>
          <w:lang w:val="sl-SI"/>
        </w:rPr>
        <w:t>za</w:t>
      </w:r>
      <w:r w:rsidR="00BB48C0" w:rsidRPr="00A439A9">
        <w:rPr>
          <w:rFonts w:eastAsia="Calibri" w:cstheme="minorHAnsi"/>
          <w:lang w:val="sl-SI"/>
        </w:rPr>
        <w:t xml:space="preserve"> </w:t>
      </w:r>
      <w:r w:rsidR="00A439A9" w:rsidRPr="00A439A9">
        <w:rPr>
          <w:rFonts w:eastAsia="Calibri" w:cstheme="minorHAnsi"/>
          <w:lang w:val="sl-SI"/>
        </w:rPr>
        <w:t>10,28</w:t>
      </w:r>
      <w:r w:rsidR="00BB48C0" w:rsidRPr="00A439A9">
        <w:rPr>
          <w:rFonts w:eastAsia="Calibri" w:cstheme="minorHAnsi"/>
          <w:lang w:val="sl-SI"/>
        </w:rPr>
        <w:t>%</w:t>
      </w:r>
      <w:r w:rsidR="00A439A9" w:rsidRPr="00A439A9">
        <w:rPr>
          <w:rFonts w:eastAsia="Calibri" w:cstheme="minorHAnsi"/>
          <w:lang w:val="sl-SI"/>
        </w:rPr>
        <w:t xml:space="preserve"> u odnosu na promatrano razdoblje prethodne godine. </w:t>
      </w:r>
      <w:r w:rsidR="0072087F">
        <w:rPr>
          <w:rFonts w:eastAsia="Calibri" w:cstheme="minorHAnsi"/>
          <w:lang w:val="sl-SI"/>
        </w:rPr>
        <w:t>Na s</w:t>
      </w:r>
      <w:r w:rsidR="00A439A9" w:rsidRPr="00A439A9">
        <w:rPr>
          <w:rFonts w:eastAsia="Calibri" w:cstheme="minorHAnsi"/>
          <w:lang w:val="sl-SI"/>
        </w:rPr>
        <w:t xml:space="preserve">manjenje </w:t>
      </w:r>
      <w:r w:rsidR="0072087F">
        <w:rPr>
          <w:rFonts w:eastAsia="Calibri" w:cstheme="minorHAnsi"/>
          <w:lang w:val="sl-SI"/>
        </w:rPr>
        <w:t>materijalnih</w:t>
      </w:r>
      <w:r w:rsidR="00D04A6D">
        <w:rPr>
          <w:rFonts w:eastAsia="Calibri" w:cstheme="minorHAnsi"/>
          <w:lang w:val="sl-SI"/>
        </w:rPr>
        <w:t xml:space="preserve"> rashoda je utjecalo</w:t>
      </w:r>
      <w:r w:rsidR="0072087F">
        <w:rPr>
          <w:rFonts w:eastAsia="Calibri" w:cstheme="minorHAnsi"/>
          <w:lang w:val="sl-SI"/>
        </w:rPr>
        <w:t>:</w:t>
      </w:r>
    </w:p>
    <w:p w14:paraId="60CA16A0" w14:textId="0E4A8B7B" w:rsidR="00D04A6D" w:rsidRPr="00D04A6D" w:rsidRDefault="007F7BDE" w:rsidP="00D04A6D">
      <w:pPr>
        <w:pStyle w:val="ListParagraph"/>
        <w:numPr>
          <w:ilvl w:val="0"/>
          <w:numId w:val="14"/>
        </w:numPr>
        <w:overflowPunct w:val="0"/>
        <w:autoSpaceDE w:val="0"/>
        <w:autoSpaceDN w:val="0"/>
        <w:adjustRightInd w:val="0"/>
        <w:spacing w:after="0" w:line="240" w:lineRule="auto"/>
        <w:jc w:val="both"/>
        <w:textAlignment w:val="baseline"/>
        <w:rPr>
          <w:rFonts w:eastAsia="Calibri" w:cstheme="minorHAnsi"/>
          <w:lang w:val="sl-SI"/>
        </w:rPr>
      </w:pPr>
      <w:r w:rsidRPr="00D13E91">
        <w:rPr>
          <w:rFonts w:eastAsia="Calibri" w:cstheme="minorHAnsi"/>
          <w:lang w:val="sl-SI"/>
        </w:rPr>
        <w:t xml:space="preserve">stručno usavršavanje zaposlenika u promatranom razdoblju se najvećim dijelom </w:t>
      </w:r>
      <w:r w:rsidR="00B55A27" w:rsidRPr="00D13E91">
        <w:rPr>
          <w:rFonts w:eastAsia="Calibri" w:cstheme="minorHAnsi"/>
          <w:lang w:val="sl-SI"/>
        </w:rPr>
        <w:t>odnosi na tečajeve stranih jezika, sudjelovanje na konferencijama, razvoj rukovodećeg kadra i specifičnih kompetencija zaposlenika, edukaciju o informacijskoj sigurnosti te stručne seminare i savjetovanja. Realizacija je u 2024. smanjena u odnosu na promatrano razdoblje prethodne godine jer je u 2023. provedeno osposobljavanje zaposlenika Odjela kontrole RF spektra za rad na</w:t>
      </w:r>
      <w:r w:rsidR="00D04A6D">
        <w:rPr>
          <w:rFonts w:eastAsia="Calibri" w:cstheme="minorHAnsi"/>
          <w:lang w:val="sl-SI"/>
        </w:rPr>
        <w:t xml:space="preserve"> Rohde &amp; Schwarz ARGUS sustavu</w:t>
      </w:r>
    </w:p>
    <w:p w14:paraId="0D430060" w14:textId="77777777" w:rsidR="00B55A27" w:rsidRPr="00D13E91" w:rsidRDefault="00B55A27" w:rsidP="00B55A27">
      <w:pPr>
        <w:pStyle w:val="ListParagraph"/>
        <w:overflowPunct w:val="0"/>
        <w:autoSpaceDE w:val="0"/>
        <w:autoSpaceDN w:val="0"/>
        <w:adjustRightInd w:val="0"/>
        <w:spacing w:after="0" w:line="240" w:lineRule="auto"/>
        <w:jc w:val="both"/>
        <w:textAlignment w:val="baseline"/>
        <w:rPr>
          <w:rFonts w:eastAsia="Calibri" w:cstheme="minorHAnsi"/>
          <w:lang w:val="sl-SI"/>
        </w:rPr>
      </w:pPr>
    </w:p>
    <w:p w14:paraId="3FA09F32" w14:textId="18728157" w:rsidR="00B55A27" w:rsidRPr="00D13E91" w:rsidRDefault="00B55A27" w:rsidP="00AE191E">
      <w:pPr>
        <w:pStyle w:val="ListParagraph"/>
        <w:numPr>
          <w:ilvl w:val="0"/>
          <w:numId w:val="14"/>
        </w:numPr>
        <w:overflowPunct w:val="0"/>
        <w:autoSpaceDE w:val="0"/>
        <w:autoSpaceDN w:val="0"/>
        <w:adjustRightInd w:val="0"/>
        <w:spacing w:after="0" w:line="240" w:lineRule="auto"/>
        <w:jc w:val="both"/>
        <w:textAlignment w:val="baseline"/>
        <w:rPr>
          <w:rFonts w:eastAsia="Calibri" w:cstheme="minorHAnsi"/>
          <w:lang w:val="sl-SI"/>
        </w:rPr>
      </w:pPr>
      <w:r w:rsidRPr="00D13E91">
        <w:rPr>
          <w:rFonts w:eastAsia="Calibri" w:cstheme="minorHAnsi"/>
          <w:lang w:val="sl-SI"/>
        </w:rPr>
        <w:t>troškovi uredskog materijala i ostalih materijalnih rashoda u promatranom razdoblju su realizirani u iznosu od 4</w:t>
      </w:r>
      <w:r w:rsidR="00D17DAE" w:rsidRPr="00D13E91">
        <w:rPr>
          <w:rFonts w:eastAsia="Calibri" w:cstheme="minorHAnsi"/>
          <w:lang w:val="sl-SI"/>
        </w:rPr>
        <w:t>2.976,92 EUR, što predstavlja s</w:t>
      </w:r>
      <w:r w:rsidRPr="00D13E91">
        <w:rPr>
          <w:rFonts w:eastAsia="Calibri" w:cstheme="minorHAnsi"/>
          <w:lang w:val="sl-SI"/>
        </w:rPr>
        <w:t>m</w:t>
      </w:r>
      <w:r w:rsidR="00D17DAE" w:rsidRPr="00D13E91">
        <w:rPr>
          <w:rFonts w:eastAsia="Calibri" w:cstheme="minorHAnsi"/>
          <w:lang w:val="sl-SI"/>
        </w:rPr>
        <w:t>a</w:t>
      </w:r>
      <w:r w:rsidRPr="00D13E91">
        <w:rPr>
          <w:rFonts w:eastAsia="Calibri" w:cstheme="minorHAnsi"/>
          <w:lang w:val="sl-SI"/>
        </w:rPr>
        <w:t>njenje za 35,44</w:t>
      </w:r>
      <w:r w:rsidR="00D17DAE" w:rsidRPr="00D13E91">
        <w:rPr>
          <w:rFonts w:eastAsia="Calibri" w:cstheme="minorHAnsi"/>
          <w:lang w:val="sl-SI"/>
        </w:rPr>
        <w:t>%</w:t>
      </w:r>
      <w:r w:rsidRPr="00D13E91">
        <w:rPr>
          <w:rFonts w:eastAsia="Calibri" w:cstheme="minorHAnsi"/>
          <w:lang w:val="sl-SI"/>
        </w:rPr>
        <w:t xml:space="preserve"> u odnosu na promatrano razdoblje prethodne godine</w:t>
      </w:r>
    </w:p>
    <w:p w14:paraId="795C0F26" w14:textId="77777777" w:rsidR="00D17DAE" w:rsidRPr="00D13E91" w:rsidRDefault="00D17DAE" w:rsidP="00D17DAE">
      <w:pPr>
        <w:pStyle w:val="ListParagraph"/>
        <w:overflowPunct w:val="0"/>
        <w:autoSpaceDE w:val="0"/>
        <w:autoSpaceDN w:val="0"/>
        <w:adjustRightInd w:val="0"/>
        <w:spacing w:after="0" w:line="240" w:lineRule="auto"/>
        <w:jc w:val="both"/>
        <w:textAlignment w:val="baseline"/>
        <w:rPr>
          <w:rFonts w:eastAsia="Calibri" w:cstheme="minorHAnsi"/>
          <w:lang w:val="sl-SI"/>
        </w:rPr>
      </w:pPr>
    </w:p>
    <w:p w14:paraId="6CBD328D" w14:textId="71755D10" w:rsidR="0042075B" w:rsidRPr="00D13E91" w:rsidRDefault="00D17DAE" w:rsidP="00B55A27">
      <w:pPr>
        <w:pStyle w:val="ListParagraph"/>
        <w:numPr>
          <w:ilvl w:val="0"/>
          <w:numId w:val="14"/>
        </w:numPr>
        <w:overflowPunct w:val="0"/>
        <w:autoSpaceDE w:val="0"/>
        <w:autoSpaceDN w:val="0"/>
        <w:adjustRightInd w:val="0"/>
        <w:spacing w:after="0" w:line="240" w:lineRule="auto"/>
        <w:jc w:val="both"/>
        <w:textAlignment w:val="baseline"/>
        <w:rPr>
          <w:rFonts w:eastAsia="Calibri" w:cstheme="minorHAnsi"/>
          <w:lang w:val="sl-SI"/>
        </w:rPr>
      </w:pPr>
      <w:r w:rsidRPr="00D13E91">
        <w:rPr>
          <w:rFonts w:eastAsia="Calibri" w:cstheme="minorHAnsi"/>
          <w:lang w:val="sl-SI"/>
        </w:rPr>
        <w:t>troškove</w:t>
      </w:r>
      <w:r w:rsidR="00EA76A8" w:rsidRPr="00D13E91">
        <w:rPr>
          <w:rFonts w:eastAsia="Calibri" w:cstheme="minorHAnsi"/>
          <w:lang w:val="sl-SI"/>
        </w:rPr>
        <w:t xml:space="preserve"> energije </w:t>
      </w:r>
      <w:r w:rsidRPr="00D13E91">
        <w:rPr>
          <w:rFonts w:eastAsia="Calibri" w:cstheme="minorHAnsi"/>
          <w:lang w:val="sl-SI"/>
        </w:rPr>
        <w:t>koji su u promatranom razdoblju smanjeni za 11,79% u odnosu na proma</w:t>
      </w:r>
      <w:r w:rsidR="00F5561A">
        <w:rPr>
          <w:rFonts w:eastAsia="Calibri" w:cstheme="minorHAnsi"/>
          <w:lang w:val="sl-SI"/>
        </w:rPr>
        <w:t>t</w:t>
      </w:r>
      <w:r w:rsidRPr="00D13E91">
        <w:rPr>
          <w:rFonts w:eastAsia="Calibri" w:cstheme="minorHAnsi"/>
          <w:lang w:val="sl-SI"/>
        </w:rPr>
        <w:t>rano raz</w:t>
      </w:r>
      <w:r w:rsidR="00F5561A">
        <w:rPr>
          <w:rFonts w:eastAsia="Calibri" w:cstheme="minorHAnsi"/>
          <w:lang w:val="sl-SI"/>
        </w:rPr>
        <w:t>d</w:t>
      </w:r>
      <w:r w:rsidR="00D04A6D">
        <w:rPr>
          <w:rFonts w:eastAsia="Calibri" w:cstheme="minorHAnsi"/>
          <w:lang w:val="sl-SI"/>
        </w:rPr>
        <w:t>oblje prethodne godine</w:t>
      </w:r>
    </w:p>
    <w:p w14:paraId="31493FAA" w14:textId="77777777" w:rsidR="008F2AAC" w:rsidRPr="00D13E91" w:rsidRDefault="008F2AAC" w:rsidP="008F2AAC">
      <w:pPr>
        <w:overflowPunct w:val="0"/>
        <w:autoSpaceDE w:val="0"/>
        <w:autoSpaceDN w:val="0"/>
        <w:adjustRightInd w:val="0"/>
        <w:spacing w:after="0" w:line="240" w:lineRule="auto"/>
        <w:ind w:left="720"/>
        <w:contextualSpacing/>
        <w:jc w:val="both"/>
        <w:textAlignment w:val="baseline"/>
        <w:rPr>
          <w:rFonts w:eastAsia="Calibri" w:cstheme="minorHAnsi"/>
          <w:lang w:val="sl-SI"/>
        </w:rPr>
      </w:pPr>
    </w:p>
    <w:p w14:paraId="6B3A0D5C" w14:textId="3F3344D9" w:rsidR="007142BE" w:rsidRDefault="007F7BDE" w:rsidP="00D17DAE">
      <w:pPr>
        <w:numPr>
          <w:ilvl w:val="0"/>
          <w:numId w:val="14"/>
        </w:numPr>
        <w:overflowPunct w:val="0"/>
        <w:autoSpaceDE w:val="0"/>
        <w:autoSpaceDN w:val="0"/>
        <w:adjustRightInd w:val="0"/>
        <w:spacing w:after="0" w:line="240" w:lineRule="auto"/>
        <w:contextualSpacing/>
        <w:jc w:val="both"/>
        <w:textAlignment w:val="baseline"/>
        <w:rPr>
          <w:rFonts w:eastAsia="Calibri" w:cstheme="minorHAnsi"/>
          <w:lang w:val="sl-SI"/>
        </w:rPr>
      </w:pPr>
      <w:r w:rsidRPr="00D13E91">
        <w:rPr>
          <w:rFonts w:eastAsia="Calibri" w:cstheme="minorHAnsi"/>
          <w:lang w:val="sl-SI"/>
        </w:rPr>
        <w:t xml:space="preserve">intelektualne usluge su realizirane u iznosu od </w:t>
      </w:r>
      <w:r w:rsidR="00D17DAE" w:rsidRPr="00D13E91">
        <w:rPr>
          <w:rFonts w:eastAsia="Calibri" w:cstheme="minorHAnsi"/>
          <w:lang w:val="sl-SI"/>
        </w:rPr>
        <w:t>230.671,99</w:t>
      </w:r>
      <w:r w:rsidR="00981BD7" w:rsidRPr="00D13E91">
        <w:rPr>
          <w:rFonts w:eastAsia="Calibri" w:cstheme="minorHAnsi"/>
          <w:lang w:val="sl-SI"/>
        </w:rPr>
        <w:t xml:space="preserve"> </w:t>
      </w:r>
      <w:r w:rsidRPr="00D13E91">
        <w:rPr>
          <w:rFonts w:eastAsia="Calibri" w:cstheme="minorHAnsi"/>
          <w:lang w:val="sl-SI"/>
        </w:rPr>
        <w:t>EUR</w:t>
      </w:r>
      <w:r w:rsidR="00D17DAE" w:rsidRPr="00D13E91">
        <w:rPr>
          <w:rFonts w:eastAsia="Calibri" w:cstheme="minorHAnsi"/>
          <w:lang w:val="sl-SI"/>
        </w:rPr>
        <w:t xml:space="preserve"> </w:t>
      </w:r>
      <w:r w:rsidR="007142BE" w:rsidRPr="00D13E91">
        <w:rPr>
          <w:rFonts w:eastAsia="Calibri" w:cstheme="minorHAnsi"/>
          <w:lang w:val="sl-SI"/>
        </w:rPr>
        <w:t xml:space="preserve">te </w:t>
      </w:r>
      <w:r w:rsidR="00D17DAE" w:rsidRPr="00D13E91">
        <w:rPr>
          <w:rFonts w:eastAsia="Calibri" w:cstheme="minorHAnsi"/>
          <w:lang w:val="sl-SI"/>
        </w:rPr>
        <w:t xml:space="preserve">su znatno manje u odnosu na promatrano razdoblje prethodne godine (816.544,44 EUR) kada su iste </w:t>
      </w:r>
      <w:r w:rsidR="007142BE" w:rsidRPr="00D13E91">
        <w:rPr>
          <w:rFonts w:eastAsia="Calibri" w:cstheme="minorHAnsi"/>
          <w:lang w:val="sl-SI"/>
        </w:rPr>
        <w:t>obuhvaća</w:t>
      </w:r>
      <w:r w:rsidR="00D17DAE" w:rsidRPr="00D13E91">
        <w:rPr>
          <w:rFonts w:eastAsia="Calibri" w:cstheme="minorHAnsi"/>
          <w:lang w:val="sl-SI"/>
        </w:rPr>
        <w:t>le</w:t>
      </w:r>
      <w:r w:rsidR="007142BE" w:rsidRPr="00D13E91">
        <w:rPr>
          <w:rFonts w:eastAsia="Calibri" w:cstheme="minorHAnsi"/>
          <w:lang w:val="sl-SI"/>
        </w:rPr>
        <w:t xml:space="preserve"> reviziju regulatornog računovodstvenog sustava Hrvatskog Telekoma d.d., reviziju regulatornog izvještaja davatelja univerzalne usluge, uslugu izračuna cjenovnog ograničenja za razdoblje 2023. – 2025., usluge savjetovanja za pripremu, provedbu i evaluaciju postupka elektroničke dražbe radi dodjele radiofrekvencijskog spektra za mreže pokretnih komunikacija pete generacije 5G, uslugu izrade troškovnog modela za ERT, uslugu provjere ispravnosti izračuna neto troška davatelja univerzalne usluge, usluge savjetovanja i pružanja regulatornih informacija, istraživanje zadovoljstva i potreba korisnika poštanskih usluga (poslovni korisnici), usluge savjetovanja pri ažuriranju Troškovnog modela radi određivanja novih veleprodajnih naknada i dr</w:t>
      </w:r>
      <w:r w:rsidR="00D17DAE" w:rsidRPr="00D13E91">
        <w:rPr>
          <w:rFonts w:eastAsia="Calibri" w:cstheme="minorHAnsi"/>
          <w:lang w:val="sl-SI"/>
        </w:rPr>
        <w:t xml:space="preserve">. U 2024. intelektualne usluge obuhvaćale su </w:t>
      </w:r>
      <w:r w:rsidR="00D13E91" w:rsidRPr="00D13E91">
        <w:rPr>
          <w:rFonts w:eastAsia="Calibri" w:cstheme="minorHAnsi"/>
          <w:lang w:val="sl-SI"/>
        </w:rPr>
        <w:t>izradu troškovnog modela za ERT</w:t>
      </w:r>
      <w:r w:rsidR="00D17DAE" w:rsidRPr="00D13E91">
        <w:rPr>
          <w:rFonts w:eastAsia="Calibri" w:cstheme="minorHAnsi"/>
          <w:lang w:val="sl-SI"/>
        </w:rPr>
        <w:t>, usluge savjetovanja i pružanja regulatornih informacija, razvoj organizacijske kulture, geodetske usluge za KMP Ozljak,</w:t>
      </w:r>
      <w:r w:rsidR="00D13E91" w:rsidRPr="00D13E91">
        <w:rPr>
          <w:rFonts w:eastAsia="Calibri" w:cstheme="minorHAnsi"/>
          <w:lang w:val="sl-SI"/>
        </w:rPr>
        <w:t xml:space="preserve"> reviziju regulatornog </w:t>
      </w:r>
      <w:r w:rsidR="00B16375">
        <w:rPr>
          <w:rFonts w:eastAsia="Calibri" w:cstheme="minorHAnsi"/>
          <w:lang w:val="sl-SI"/>
        </w:rPr>
        <w:t>izvještaja davatelja univerzalne</w:t>
      </w:r>
      <w:r w:rsidR="00D13E91" w:rsidRPr="00D13E91">
        <w:rPr>
          <w:rFonts w:eastAsia="Calibri" w:cstheme="minorHAnsi"/>
          <w:lang w:val="sl-SI"/>
        </w:rPr>
        <w:t xml:space="preserve"> usluge, provjeru ispravnosti izračuna net</w:t>
      </w:r>
      <w:r w:rsidR="00B16375">
        <w:rPr>
          <w:rFonts w:eastAsia="Calibri" w:cstheme="minorHAnsi"/>
          <w:lang w:val="sl-SI"/>
        </w:rPr>
        <w:t>o troškova davatelja univerzalne</w:t>
      </w:r>
      <w:r w:rsidR="00D13E91" w:rsidRPr="00D13E91">
        <w:rPr>
          <w:rFonts w:eastAsia="Calibri" w:cstheme="minorHAnsi"/>
          <w:lang w:val="sl-SI"/>
        </w:rPr>
        <w:t xml:space="preserve"> usluge,</w:t>
      </w:r>
      <w:r w:rsidR="00D17DAE" w:rsidRPr="00D13E91">
        <w:rPr>
          <w:rFonts w:eastAsia="Calibri" w:cstheme="minorHAnsi"/>
          <w:lang w:val="sl-SI"/>
        </w:rPr>
        <w:t xml:space="preserve"> izradu izvješća o kvaliteti usluga u javnim pokretnim mrežama i dr</w:t>
      </w:r>
      <w:r w:rsidR="00D04A6D">
        <w:rPr>
          <w:rFonts w:eastAsia="Calibri" w:cstheme="minorHAnsi"/>
          <w:lang w:val="sl-SI"/>
        </w:rPr>
        <w:t>.</w:t>
      </w:r>
    </w:p>
    <w:p w14:paraId="3B843B9A" w14:textId="77777777" w:rsidR="00D13E91" w:rsidRPr="00D13E91" w:rsidRDefault="00D13E91" w:rsidP="00D13E91">
      <w:pPr>
        <w:overflowPunct w:val="0"/>
        <w:autoSpaceDE w:val="0"/>
        <w:autoSpaceDN w:val="0"/>
        <w:adjustRightInd w:val="0"/>
        <w:spacing w:after="0" w:line="240" w:lineRule="auto"/>
        <w:ind w:left="720"/>
        <w:contextualSpacing/>
        <w:jc w:val="both"/>
        <w:textAlignment w:val="baseline"/>
        <w:rPr>
          <w:rFonts w:eastAsia="Calibri" w:cstheme="minorHAnsi"/>
          <w:lang w:val="sl-SI"/>
        </w:rPr>
      </w:pPr>
    </w:p>
    <w:p w14:paraId="60FD31F2" w14:textId="7CDAA97F" w:rsidR="00D13E91" w:rsidRPr="0072087F" w:rsidRDefault="00D13E91" w:rsidP="00297B3B">
      <w:pPr>
        <w:suppressAutoHyphens/>
        <w:overflowPunct w:val="0"/>
        <w:autoSpaceDE w:val="0"/>
        <w:autoSpaceDN w:val="0"/>
        <w:adjustRightInd w:val="0"/>
        <w:spacing w:after="120"/>
        <w:jc w:val="both"/>
        <w:textAlignment w:val="baseline"/>
        <w:rPr>
          <w:rFonts w:eastAsia="Calibri" w:cstheme="minorHAnsi"/>
          <w:lang w:val="sl-SI"/>
        </w:rPr>
      </w:pPr>
      <w:r w:rsidRPr="0072087F">
        <w:rPr>
          <w:rFonts w:eastAsia="Calibri" w:cstheme="minorHAnsi"/>
          <w:lang w:val="sl-SI"/>
        </w:rPr>
        <w:t>U promatranom razdoblju 2024.</w:t>
      </w:r>
      <w:r w:rsidR="00A93197">
        <w:rPr>
          <w:rFonts w:eastAsia="Calibri" w:cstheme="minorHAnsi"/>
          <w:lang w:val="sl-SI"/>
        </w:rPr>
        <w:t xml:space="preserve"> u odnosu na</w:t>
      </w:r>
      <w:r w:rsidR="0072087F" w:rsidRPr="0072087F">
        <w:rPr>
          <w:rFonts w:eastAsia="Calibri" w:cstheme="minorHAnsi"/>
          <w:lang w:val="sl-SI"/>
        </w:rPr>
        <w:t xml:space="preserve"> razdoblje prethodne godine značajnije su</w:t>
      </w:r>
      <w:r w:rsidR="00B16375">
        <w:rPr>
          <w:rFonts w:eastAsia="Calibri" w:cstheme="minorHAnsi"/>
          <w:lang w:val="sl-SI"/>
        </w:rPr>
        <w:t xml:space="preserve"> porasle</w:t>
      </w:r>
      <w:r w:rsidR="00A93197">
        <w:rPr>
          <w:rFonts w:eastAsia="Calibri" w:cstheme="minorHAnsi"/>
          <w:lang w:val="sl-SI"/>
        </w:rPr>
        <w:t>:</w:t>
      </w:r>
      <w:r w:rsidRPr="0072087F">
        <w:rPr>
          <w:rFonts w:eastAsia="Calibri" w:cstheme="minorHAnsi"/>
          <w:lang w:val="sl-SI"/>
        </w:rPr>
        <w:t xml:space="preserve"> usluge </w:t>
      </w:r>
      <w:r w:rsidR="0072087F" w:rsidRPr="0072087F">
        <w:rPr>
          <w:rFonts w:eastAsia="Calibri" w:cstheme="minorHAnsi"/>
          <w:lang w:val="sl-SI"/>
        </w:rPr>
        <w:t>telefona, pošte i prijevoza (25,09%)</w:t>
      </w:r>
      <w:r w:rsidRPr="0072087F">
        <w:rPr>
          <w:rFonts w:eastAsia="Calibri" w:cstheme="minorHAnsi"/>
          <w:lang w:val="sl-SI"/>
        </w:rPr>
        <w:t xml:space="preserve">, </w:t>
      </w:r>
      <w:r w:rsidR="0072087F" w:rsidRPr="0072087F">
        <w:rPr>
          <w:rFonts w:eastAsia="Calibri" w:cstheme="minorHAnsi"/>
          <w:lang w:val="sl-SI"/>
        </w:rPr>
        <w:t xml:space="preserve">usluge tekućeg i investicijskog održavanja (11,97%), </w:t>
      </w:r>
      <w:r w:rsidRPr="0072087F">
        <w:rPr>
          <w:rFonts w:eastAsia="Calibri" w:cstheme="minorHAnsi"/>
          <w:lang w:val="sl-SI"/>
        </w:rPr>
        <w:t xml:space="preserve">usluge promidžbe i informiranja </w:t>
      </w:r>
      <w:r w:rsidR="0072087F" w:rsidRPr="0072087F">
        <w:rPr>
          <w:rFonts w:eastAsia="Calibri" w:cstheme="minorHAnsi"/>
          <w:lang w:val="sl-SI"/>
        </w:rPr>
        <w:t xml:space="preserve">za </w:t>
      </w:r>
      <w:r w:rsidR="00B16375">
        <w:rPr>
          <w:rFonts w:eastAsia="Calibri" w:cstheme="minorHAnsi"/>
          <w:lang w:val="sl-SI"/>
        </w:rPr>
        <w:t>(</w:t>
      </w:r>
      <w:r w:rsidR="0072087F" w:rsidRPr="0072087F">
        <w:rPr>
          <w:rFonts w:eastAsia="Calibri" w:cstheme="minorHAnsi"/>
          <w:lang w:val="sl-SI"/>
        </w:rPr>
        <w:t>29,09%</w:t>
      </w:r>
      <w:r w:rsidR="00B16375">
        <w:rPr>
          <w:rFonts w:eastAsia="Calibri" w:cstheme="minorHAnsi"/>
          <w:lang w:val="sl-SI"/>
        </w:rPr>
        <w:t>),</w:t>
      </w:r>
      <w:r w:rsidR="0072087F" w:rsidRPr="0072087F">
        <w:rPr>
          <w:rFonts w:eastAsia="Calibri" w:cstheme="minorHAnsi"/>
          <w:lang w:val="sl-SI"/>
        </w:rPr>
        <w:t xml:space="preserve"> </w:t>
      </w:r>
      <w:r w:rsidRPr="0072087F">
        <w:rPr>
          <w:rFonts w:eastAsia="Calibri" w:cstheme="minorHAnsi"/>
          <w:lang w:val="sl-SI"/>
        </w:rPr>
        <w:t>nabavljeni su promidžbeni materijali povodom obilježavanja Dana sigurnijeg interneta za djecu, edukativni materijali u svrhu podizanja svijesti javnosti o elektromagnetskim poljima, promotivni materijali namijenjeni za građanstvo na zajedničkim skupovima vezanima uz zaštitu korisnika u elektroničkim komunikacijama, materijali za Dan novih t</w:t>
      </w:r>
      <w:r w:rsidR="00B16375">
        <w:rPr>
          <w:rFonts w:eastAsia="Calibri" w:cstheme="minorHAnsi"/>
          <w:lang w:val="sl-SI"/>
        </w:rPr>
        <w:t>ehnologija 2024. i dr.</w:t>
      </w:r>
      <w:r w:rsidRPr="0072087F">
        <w:rPr>
          <w:rFonts w:eastAsia="Calibri" w:cstheme="minorHAnsi"/>
          <w:lang w:val="sl-SI"/>
        </w:rPr>
        <w:t>, premije osiguranja (osiguranje prijevoznih sredstava, imovine i zaposlenika</w:t>
      </w:r>
      <w:r w:rsidR="00A93197">
        <w:rPr>
          <w:rFonts w:eastAsia="Calibri" w:cstheme="minorHAnsi"/>
          <w:lang w:val="sl-SI"/>
        </w:rPr>
        <w:t>), reprezentacija (Dan</w:t>
      </w:r>
      <w:r w:rsidRPr="0072087F">
        <w:rPr>
          <w:rFonts w:eastAsia="Calibri" w:cstheme="minorHAnsi"/>
          <w:lang w:val="sl-SI"/>
        </w:rPr>
        <w:t xml:space="preserve"> sigurnijeg </w:t>
      </w:r>
      <w:r w:rsidR="00A93197">
        <w:rPr>
          <w:rFonts w:eastAsia="Calibri" w:cstheme="minorHAnsi"/>
          <w:lang w:val="sl-SI"/>
        </w:rPr>
        <w:t>interneta za djecu, 17. okrugli stol</w:t>
      </w:r>
      <w:r w:rsidRPr="0072087F">
        <w:rPr>
          <w:rFonts w:eastAsia="Calibri" w:cstheme="minorHAnsi"/>
          <w:lang w:val="sl-SI"/>
        </w:rPr>
        <w:t xml:space="preserve"> dionika za željezničke u</w:t>
      </w:r>
      <w:r w:rsidR="00A93197">
        <w:rPr>
          <w:rFonts w:eastAsia="Calibri" w:cstheme="minorHAnsi"/>
          <w:lang w:val="sl-SI"/>
        </w:rPr>
        <w:t>sluge, Dan novih tehnologija 2024., Dan HAKOM-a, Dan</w:t>
      </w:r>
      <w:r w:rsidRPr="0072087F">
        <w:rPr>
          <w:rFonts w:eastAsia="Calibri" w:cstheme="minorHAnsi"/>
          <w:lang w:val="sl-SI"/>
        </w:rPr>
        <w:t xml:space="preserve"> tržišta </w:t>
      </w:r>
      <w:r w:rsidR="00A93197">
        <w:rPr>
          <w:rFonts w:eastAsia="Calibri" w:cstheme="minorHAnsi"/>
          <w:lang w:val="sl-SI"/>
        </w:rPr>
        <w:t>elektroničkih komunikacija, Dan</w:t>
      </w:r>
      <w:r w:rsidRPr="0072087F">
        <w:rPr>
          <w:rFonts w:eastAsia="Calibri" w:cstheme="minorHAnsi"/>
          <w:lang w:val="sl-SI"/>
        </w:rPr>
        <w:t xml:space="preserve"> tržišta poštanskih i</w:t>
      </w:r>
      <w:r w:rsidR="00A93197">
        <w:rPr>
          <w:rFonts w:eastAsia="Calibri" w:cstheme="minorHAnsi"/>
          <w:lang w:val="sl-SI"/>
        </w:rPr>
        <w:t xml:space="preserve"> željezničkih usluga, strateški sastanci i dr.).</w:t>
      </w:r>
    </w:p>
    <w:p w14:paraId="183E0D59" w14:textId="77777777" w:rsidR="008F2AAC" w:rsidRPr="009C3CFA" w:rsidRDefault="008F2AAC" w:rsidP="00297B3B">
      <w:pPr>
        <w:suppressAutoHyphens/>
        <w:overflowPunct w:val="0"/>
        <w:autoSpaceDE w:val="0"/>
        <w:autoSpaceDN w:val="0"/>
        <w:adjustRightInd w:val="0"/>
        <w:spacing w:after="120"/>
        <w:jc w:val="both"/>
        <w:textAlignment w:val="baseline"/>
        <w:rPr>
          <w:rFonts w:eastAsia="Calibri" w:cstheme="minorHAnsi"/>
          <w:highlight w:val="yellow"/>
          <w:lang w:val="sl-SI"/>
        </w:rPr>
      </w:pPr>
    </w:p>
    <w:p w14:paraId="1F92C3EF" w14:textId="1B86460E" w:rsidR="00385EDE" w:rsidRPr="00DF5A06" w:rsidRDefault="00EA76A8" w:rsidP="00385EDE">
      <w:pPr>
        <w:overflowPunct w:val="0"/>
        <w:autoSpaceDE w:val="0"/>
        <w:autoSpaceDN w:val="0"/>
        <w:adjustRightInd w:val="0"/>
        <w:spacing w:after="120" w:line="240" w:lineRule="auto"/>
        <w:jc w:val="both"/>
        <w:textAlignment w:val="baseline"/>
        <w:rPr>
          <w:rFonts w:eastAsia="Times New Roman" w:cstheme="minorHAnsi"/>
          <w:lang w:val="sl-SI"/>
        </w:rPr>
      </w:pPr>
      <w:r w:rsidRPr="00DF5A06">
        <w:rPr>
          <w:rFonts w:eastAsia="Times New Roman" w:cstheme="minorHAnsi"/>
          <w:lang w:val="sl-SI"/>
        </w:rPr>
        <w:t xml:space="preserve">Rashodi za nabavu nefinancijske imovine su ostvareni u iznosu od </w:t>
      </w:r>
      <w:r w:rsidR="00DF5A06" w:rsidRPr="00DF5A06">
        <w:rPr>
          <w:rFonts w:eastAsia="Times New Roman" w:cstheme="minorHAnsi"/>
          <w:lang w:val="sl-SI"/>
        </w:rPr>
        <w:t>1.179.119,77</w:t>
      </w:r>
      <w:r w:rsidR="00917D29" w:rsidRPr="00DF5A06">
        <w:rPr>
          <w:rFonts w:eastAsia="Times New Roman" w:cstheme="minorHAnsi"/>
          <w:lang w:val="sl-SI"/>
        </w:rPr>
        <w:t xml:space="preserve"> EUR</w:t>
      </w:r>
      <w:r w:rsidR="00EF00D5" w:rsidRPr="00DF5A06">
        <w:rPr>
          <w:rFonts w:eastAsia="Times New Roman" w:cstheme="minorHAnsi"/>
          <w:lang w:val="sl-SI"/>
        </w:rPr>
        <w:t xml:space="preserve"> a odnose se na :</w:t>
      </w:r>
    </w:p>
    <w:p w14:paraId="5C736EEE" w14:textId="7310C123" w:rsidR="00657AC4" w:rsidRDefault="008869E3" w:rsidP="00DF5A06">
      <w:pPr>
        <w:pStyle w:val="ListParagraph"/>
        <w:numPr>
          <w:ilvl w:val="0"/>
          <w:numId w:val="30"/>
        </w:numPr>
        <w:overflowPunct w:val="0"/>
        <w:autoSpaceDE w:val="0"/>
        <w:autoSpaceDN w:val="0"/>
        <w:adjustRightInd w:val="0"/>
        <w:spacing w:after="120" w:line="240" w:lineRule="auto"/>
        <w:jc w:val="both"/>
        <w:textAlignment w:val="baseline"/>
        <w:rPr>
          <w:rFonts w:eastAsia="Times New Roman" w:cstheme="minorHAnsi"/>
          <w:lang w:val="sl-SI"/>
        </w:rPr>
      </w:pPr>
      <w:r>
        <w:rPr>
          <w:rFonts w:eastAsia="Times New Roman" w:cstheme="minorHAnsi"/>
          <w:lang w:val="sl-SI"/>
        </w:rPr>
        <w:t>r</w:t>
      </w:r>
      <w:r w:rsidR="00EF00D5" w:rsidRPr="00DF5A06">
        <w:rPr>
          <w:rFonts w:eastAsia="Times New Roman" w:cstheme="minorHAnsi"/>
          <w:lang w:val="sl-SI"/>
        </w:rPr>
        <w:t xml:space="preserve">ashodi za nabavu </w:t>
      </w:r>
      <w:r w:rsidR="00DF5A06" w:rsidRPr="00DF5A06">
        <w:rPr>
          <w:rFonts w:eastAsia="Times New Roman" w:cstheme="minorHAnsi"/>
          <w:lang w:val="sl-SI"/>
        </w:rPr>
        <w:t>neproizvedene dugotrajne imovine ostvareni su u iznosu od 21.400,00 EUR, odnose se na licence za mjerni sustav Keysight NEMO Outdoor i</w:t>
      </w:r>
      <w:r>
        <w:rPr>
          <w:rFonts w:eastAsia="Times New Roman" w:cstheme="minorHAnsi"/>
          <w:lang w:val="sl-SI"/>
        </w:rPr>
        <w:t xml:space="preserve"> ABBYY FineReader PDF Corporate</w:t>
      </w:r>
    </w:p>
    <w:p w14:paraId="6649F930" w14:textId="77777777" w:rsidR="00DF5A06" w:rsidRPr="00DF5A06" w:rsidRDefault="00DF5A06" w:rsidP="00DF5A06">
      <w:pPr>
        <w:pStyle w:val="ListParagraph"/>
        <w:overflowPunct w:val="0"/>
        <w:autoSpaceDE w:val="0"/>
        <w:autoSpaceDN w:val="0"/>
        <w:adjustRightInd w:val="0"/>
        <w:spacing w:after="120" w:line="240" w:lineRule="auto"/>
        <w:jc w:val="both"/>
        <w:textAlignment w:val="baseline"/>
        <w:rPr>
          <w:rFonts w:eastAsia="Times New Roman" w:cstheme="minorHAnsi"/>
          <w:lang w:val="sl-SI"/>
        </w:rPr>
      </w:pPr>
    </w:p>
    <w:p w14:paraId="1CDD7FEC" w14:textId="2ED8A717" w:rsidR="00DF5A06" w:rsidRPr="00DF5A06" w:rsidRDefault="000B7B14" w:rsidP="00DF5A06">
      <w:pPr>
        <w:pStyle w:val="ListParagraph"/>
        <w:numPr>
          <w:ilvl w:val="0"/>
          <w:numId w:val="30"/>
        </w:numPr>
        <w:overflowPunct w:val="0"/>
        <w:autoSpaceDE w:val="0"/>
        <w:autoSpaceDN w:val="0"/>
        <w:adjustRightInd w:val="0"/>
        <w:spacing w:after="120" w:line="240" w:lineRule="auto"/>
        <w:jc w:val="both"/>
        <w:textAlignment w:val="baseline"/>
        <w:rPr>
          <w:rFonts w:eastAsia="Times New Roman" w:cstheme="minorHAnsi"/>
          <w:lang w:val="sl-SI"/>
        </w:rPr>
      </w:pPr>
      <w:r>
        <w:rPr>
          <w:rFonts w:eastAsia="Times New Roman" w:cstheme="minorHAnsi"/>
          <w:lang w:val="sl-SI"/>
        </w:rPr>
        <w:t>r</w:t>
      </w:r>
      <w:r w:rsidR="00DF5A06" w:rsidRPr="00DF5A06">
        <w:rPr>
          <w:rFonts w:eastAsia="Times New Roman" w:cstheme="minorHAnsi"/>
          <w:lang w:val="sl-SI"/>
        </w:rPr>
        <w:t>ashodi za nabavu proizvedene dugotrajne imovine su ostvareni u iznosu od 832.740,37 EUR, odnose se na rashode za nabavu računala i računalne opreme (računala, monitori, diskovni sustavi, računalna mrežna oprema, računalni poslužitelji, sustavi za videokonferencije i dr.), komunikacijske opreme (fiksni telefoni, mobiteli, antena za mikrovalnu vezu), opreme za održavanje i zaštitu (klime, kamere i protupožarni aparati), dvije mete</w:t>
      </w:r>
      <w:r>
        <w:rPr>
          <w:rFonts w:eastAsia="Times New Roman" w:cstheme="minorHAnsi"/>
          <w:lang w:val="sl-SI"/>
        </w:rPr>
        <w:t xml:space="preserve">orološke postaje, na nabavu </w:t>
      </w:r>
      <w:r w:rsidR="00DF5A06" w:rsidRPr="00DF5A06">
        <w:rPr>
          <w:rFonts w:eastAsia="Times New Roman" w:cstheme="minorHAnsi"/>
          <w:lang w:val="sl-SI"/>
        </w:rPr>
        <w:t>osam novih službenih vozila te su evidentirana ulaganja u računovodstveni program Business Central i u</w:t>
      </w:r>
      <w:r>
        <w:rPr>
          <w:rFonts w:eastAsia="Times New Roman" w:cstheme="minorHAnsi"/>
          <w:lang w:val="sl-SI"/>
        </w:rPr>
        <w:t xml:space="preserve"> program Kalkulator privatnosti</w:t>
      </w:r>
    </w:p>
    <w:p w14:paraId="125274B0" w14:textId="530B23F4" w:rsidR="007368F9" w:rsidRPr="005D439A" w:rsidRDefault="000B7B14" w:rsidP="0000481E">
      <w:pPr>
        <w:pStyle w:val="ListParagraph"/>
        <w:numPr>
          <w:ilvl w:val="0"/>
          <w:numId w:val="30"/>
        </w:numPr>
        <w:overflowPunct w:val="0"/>
        <w:autoSpaceDE w:val="0"/>
        <w:autoSpaceDN w:val="0"/>
        <w:adjustRightInd w:val="0"/>
        <w:spacing w:after="120" w:line="240" w:lineRule="auto"/>
        <w:jc w:val="both"/>
        <w:textAlignment w:val="baseline"/>
        <w:rPr>
          <w:rFonts w:eastAsia="Times New Roman" w:cstheme="minorHAnsi"/>
          <w:lang w:val="sl-SI"/>
        </w:rPr>
      </w:pPr>
      <w:r>
        <w:rPr>
          <w:rFonts w:eastAsia="Times New Roman" w:cstheme="minorHAnsi"/>
          <w:lang w:val="sl-SI"/>
        </w:rPr>
        <w:lastRenderedPageBreak/>
        <w:t>r</w:t>
      </w:r>
      <w:r w:rsidR="00EF00D5" w:rsidRPr="005D439A">
        <w:rPr>
          <w:rFonts w:eastAsia="Times New Roman" w:cstheme="minorHAnsi"/>
          <w:lang w:val="sl-SI"/>
        </w:rPr>
        <w:t xml:space="preserve">ashodi za dodatna ulaganja na nefinancijskoj imovini su ostvareni u iznosu od </w:t>
      </w:r>
      <w:r w:rsidR="00DF5A06" w:rsidRPr="005D439A">
        <w:rPr>
          <w:rFonts w:eastAsia="Times New Roman" w:cstheme="minorHAnsi"/>
          <w:lang w:val="sl-SI"/>
        </w:rPr>
        <w:t xml:space="preserve">324.979,40 </w:t>
      </w:r>
      <w:r w:rsidR="00EF00D5" w:rsidRPr="005D439A">
        <w:rPr>
          <w:rFonts w:eastAsia="Times New Roman" w:cstheme="minorHAnsi"/>
          <w:lang w:val="sl-SI"/>
        </w:rPr>
        <w:t xml:space="preserve">EUR te </w:t>
      </w:r>
      <w:r w:rsidR="00B626F7" w:rsidRPr="005D439A">
        <w:rPr>
          <w:rFonts w:eastAsia="Times New Roman" w:cstheme="minorHAnsi"/>
          <w:lang w:val="sl-SI"/>
        </w:rPr>
        <w:t>se odnose na</w:t>
      </w:r>
      <w:r w:rsidR="00EF00D5" w:rsidRPr="005D439A">
        <w:rPr>
          <w:rFonts w:eastAsia="Times New Roman" w:cstheme="minorHAnsi"/>
          <w:lang w:val="sl-SI"/>
        </w:rPr>
        <w:t xml:space="preserve"> dodatna ulaganja </w:t>
      </w:r>
      <w:r w:rsidR="0000481E" w:rsidRPr="005D439A">
        <w:rPr>
          <w:rFonts w:eastAsia="Times New Roman" w:cstheme="minorHAnsi"/>
          <w:lang w:val="sl-SI"/>
        </w:rPr>
        <w:t xml:space="preserve">za ostalu nefinancijsku imovinu (nadogradnja aplikacije za evidenciju radnog vremena, web portala HAKOM-a, sustava Cisco ISE Plus, sustava zaštite web aplikacije, sustava za sigurnosnu pohranu podataka, HRNet-a, </w:t>
      </w:r>
      <w:r w:rsidR="005D439A" w:rsidRPr="005D439A">
        <w:rPr>
          <w:rFonts w:eastAsia="Times New Roman" w:cstheme="minorHAnsi"/>
          <w:lang w:val="sl-SI"/>
        </w:rPr>
        <w:t xml:space="preserve">SAT-a, </w:t>
      </w:r>
      <w:r w:rsidR="0000481E" w:rsidRPr="005D439A">
        <w:rPr>
          <w:rFonts w:eastAsia="Times New Roman" w:cstheme="minorHAnsi"/>
          <w:lang w:val="sl-SI"/>
        </w:rPr>
        <w:t>Centrixa, e-Dozvola,</w:t>
      </w:r>
      <w:r w:rsidR="005D439A" w:rsidRPr="005D439A">
        <w:rPr>
          <w:rFonts w:eastAsia="Times New Roman" w:cstheme="minorHAnsi"/>
          <w:lang w:val="sl-SI"/>
        </w:rPr>
        <w:t xml:space="preserve"> e-Operatora,</w:t>
      </w:r>
      <w:r w:rsidR="0000481E" w:rsidRPr="005D439A">
        <w:rPr>
          <w:rFonts w:eastAsia="Times New Roman" w:cstheme="minorHAnsi"/>
          <w:lang w:val="sl-SI"/>
        </w:rPr>
        <w:t xml:space="preserve"> Navisiona, Business Centrala i dr.) i dodatna ulaganja na opremi (nadogradnja mikrovalne veze, videokonferencijske opreme</w:t>
      </w:r>
      <w:r>
        <w:rPr>
          <w:rFonts w:eastAsia="Times New Roman" w:cstheme="minorHAnsi"/>
          <w:lang w:val="sl-SI"/>
        </w:rPr>
        <w:t>,</w:t>
      </w:r>
      <w:r w:rsidR="0000481E" w:rsidRPr="005D439A">
        <w:rPr>
          <w:rFonts w:eastAsia="Times New Roman" w:cstheme="minorHAnsi"/>
          <w:lang w:val="sl-SI"/>
        </w:rPr>
        <w:t xml:space="preserve"> sustava neprekidnog napajanja, sustava oporavka od katastrofe, sustava vatrozida i diskovnog sustava).</w:t>
      </w:r>
    </w:p>
    <w:p w14:paraId="0053413C" w14:textId="77777777" w:rsidR="008F2AAC" w:rsidRPr="004A6E08" w:rsidRDefault="008F2AAC" w:rsidP="00297B3B">
      <w:pPr>
        <w:overflowPunct w:val="0"/>
        <w:autoSpaceDE w:val="0"/>
        <w:autoSpaceDN w:val="0"/>
        <w:adjustRightInd w:val="0"/>
        <w:spacing w:after="120" w:line="240" w:lineRule="auto"/>
        <w:jc w:val="both"/>
        <w:textAlignment w:val="baseline"/>
        <w:rPr>
          <w:rFonts w:eastAsia="Times New Roman" w:cstheme="minorHAnsi"/>
          <w:lang w:val="sl-SI"/>
        </w:rPr>
      </w:pPr>
    </w:p>
    <w:p w14:paraId="2F83399A" w14:textId="14EE3A17" w:rsidR="00B626F7" w:rsidRDefault="00F131A6" w:rsidP="00297B3B">
      <w:pPr>
        <w:jc w:val="both"/>
        <w:rPr>
          <w:rFonts w:cstheme="minorHAnsi"/>
        </w:rPr>
      </w:pPr>
      <w:r w:rsidRPr="004A6E08">
        <w:rPr>
          <w:rFonts w:cstheme="minorHAnsi"/>
        </w:rPr>
        <w:t>Rashodi prema funkcijskoj klasifikaciji se odnose u ukupnom iznosu na 0486 Istraživanje i razvoj:</w:t>
      </w:r>
      <w:r w:rsidR="00B10AD2" w:rsidRPr="004A6E08">
        <w:rPr>
          <w:rFonts w:cstheme="minorHAnsi"/>
        </w:rPr>
        <w:t xml:space="preserve"> Komunikacije</w:t>
      </w:r>
    </w:p>
    <w:p w14:paraId="1237361C" w14:textId="77777777" w:rsidR="00CE2A39" w:rsidRPr="004A6E08" w:rsidRDefault="00CE2A39" w:rsidP="00297B3B">
      <w:pPr>
        <w:jc w:val="both"/>
        <w:rPr>
          <w:rFonts w:cstheme="minorHAnsi"/>
        </w:rPr>
      </w:pPr>
    </w:p>
    <w:p w14:paraId="00B6DF63" w14:textId="442C6AA2" w:rsidR="00657AC4" w:rsidRDefault="00985793" w:rsidP="005C13CB">
      <w:pPr>
        <w:jc w:val="center"/>
        <w:rPr>
          <w:rFonts w:cstheme="minorHAnsi"/>
        </w:rPr>
      </w:pPr>
      <w:r>
        <w:rPr>
          <w:noProof/>
          <w:lang w:eastAsia="hr-HR"/>
        </w:rPr>
        <w:drawing>
          <wp:inline distT="0" distB="0" distL="0" distR="0" wp14:anchorId="67C867C6" wp14:editId="51D6A465">
            <wp:extent cx="4567237" cy="5619752"/>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03A097" w14:textId="61D6188F" w:rsidR="00CE2A39" w:rsidRDefault="00CE2A39">
      <w:pPr>
        <w:rPr>
          <w:rFonts w:cstheme="minorHAnsi"/>
        </w:rPr>
      </w:pPr>
      <w:r>
        <w:rPr>
          <w:rFonts w:cstheme="minorHAnsi"/>
        </w:rPr>
        <w:br w:type="page"/>
      </w:r>
    </w:p>
    <w:p w14:paraId="28CC993E" w14:textId="77777777" w:rsidR="006B57FB" w:rsidRPr="004A6E08" w:rsidRDefault="006B57FB" w:rsidP="006B57FB">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lastRenderedPageBreak/>
        <w:t>Stanje novčanih sredstava</w:t>
      </w:r>
      <w:r w:rsidR="0078738C" w:rsidRPr="004A6E08">
        <w:rPr>
          <w:rFonts w:eastAsia="Times New Roman" w:cstheme="minorHAnsi"/>
          <w:lang w:val="sl-SI"/>
        </w:rPr>
        <w:t>:</w:t>
      </w:r>
    </w:p>
    <w:tbl>
      <w:tblPr>
        <w:tblStyle w:val="TableGrid"/>
        <w:tblW w:w="0" w:type="auto"/>
        <w:tblLook w:val="04A0" w:firstRow="1" w:lastRow="0" w:firstColumn="1" w:lastColumn="0" w:noHBand="0" w:noVBand="1"/>
      </w:tblPr>
      <w:tblGrid>
        <w:gridCol w:w="2086"/>
        <w:gridCol w:w="1976"/>
      </w:tblGrid>
      <w:tr w:rsidR="00385EDE" w:rsidRPr="004A6E08" w14:paraId="2E943A2D" w14:textId="77777777" w:rsidTr="00E82037">
        <w:tc>
          <w:tcPr>
            <w:tcW w:w="2086" w:type="dxa"/>
          </w:tcPr>
          <w:p w14:paraId="4C1F9B04" w14:textId="684781F2" w:rsidR="00385EDE" w:rsidRPr="004A6E08" w:rsidRDefault="00385EDE" w:rsidP="009C3CFA">
            <w:pPr>
              <w:overflowPunct w:val="0"/>
              <w:autoSpaceDE w:val="0"/>
              <w:autoSpaceDN w:val="0"/>
              <w:adjustRightInd w:val="0"/>
              <w:spacing w:after="120"/>
              <w:jc w:val="right"/>
              <w:textAlignment w:val="baseline"/>
              <w:rPr>
                <w:rFonts w:eastAsia="Times New Roman" w:cstheme="minorHAnsi"/>
                <w:lang w:val="sl-SI"/>
              </w:rPr>
            </w:pPr>
            <w:r w:rsidRPr="004A6E08">
              <w:rPr>
                <w:rFonts w:eastAsia="Times New Roman" w:cstheme="minorHAnsi"/>
                <w:lang w:val="sl-SI"/>
              </w:rPr>
              <w:t>01.01.202</w:t>
            </w:r>
            <w:r w:rsidR="009C3CFA">
              <w:rPr>
                <w:rFonts w:eastAsia="Times New Roman" w:cstheme="minorHAnsi"/>
                <w:lang w:val="sl-SI"/>
              </w:rPr>
              <w:t>4</w:t>
            </w:r>
            <w:r w:rsidRPr="004A6E08">
              <w:rPr>
                <w:rFonts w:eastAsia="Times New Roman" w:cstheme="minorHAnsi"/>
                <w:lang w:val="sl-SI"/>
              </w:rPr>
              <w:t>.</w:t>
            </w:r>
          </w:p>
        </w:tc>
        <w:tc>
          <w:tcPr>
            <w:tcW w:w="1976" w:type="dxa"/>
          </w:tcPr>
          <w:p w14:paraId="738ACAD5" w14:textId="3F7057A0" w:rsidR="00385EDE" w:rsidRPr="004A6E08" w:rsidRDefault="00BC2FD5" w:rsidP="009C3CFA">
            <w:pPr>
              <w:overflowPunct w:val="0"/>
              <w:autoSpaceDE w:val="0"/>
              <w:autoSpaceDN w:val="0"/>
              <w:adjustRightInd w:val="0"/>
              <w:spacing w:after="120"/>
              <w:jc w:val="right"/>
              <w:textAlignment w:val="baseline"/>
              <w:rPr>
                <w:rFonts w:eastAsia="Times New Roman" w:cstheme="minorHAnsi"/>
                <w:lang w:val="sl-SI"/>
              </w:rPr>
            </w:pPr>
            <w:r w:rsidRPr="004A6E08">
              <w:rPr>
                <w:rFonts w:eastAsia="Times New Roman" w:cstheme="minorHAnsi"/>
                <w:lang w:val="sl-SI"/>
              </w:rPr>
              <w:t>31</w:t>
            </w:r>
            <w:r w:rsidR="00385EDE" w:rsidRPr="004A6E08">
              <w:rPr>
                <w:rFonts w:eastAsia="Times New Roman" w:cstheme="minorHAnsi"/>
                <w:lang w:val="sl-SI"/>
              </w:rPr>
              <w:t>.</w:t>
            </w:r>
            <w:r w:rsidRPr="004A6E08">
              <w:rPr>
                <w:rFonts w:eastAsia="Times New Roman" w:cstheme="minorHAnsi"/>
                <w:lang w:val="sl-SI"/>
              </w:rPr>
              <w:t>12</w:t>
            </w:r>
            <w:r w:rsidR="00385EDE" w:rsidRPr="004A6E08">
              <w:rPr>
                <w:rFonts w:eastAsia="Times New Roman" w:cstheme="minorHAnsi"/>
                <w:lang w:val="sl-SI"/>
              </w:rPr>
              <w:t>.202</w:t>
            </w:r>
            <w:r w:rsidR="009C3CFA">
              <w:rPr>
                <w:rFonts w:eastAsia="Times New Roman" w:cstheme="minorHAnsi"/>
                <w:lang w:val="sl-SI"/>
              </w:rPr>
              <w:t>4</w:t>
            </w:r>
            <w:r w:rsidR="00385EDE" w:rsidRPr="004A6E08">
              <w:rPr>
                <w:rFonts w:eastAsia="Times New Roman" w:cstheme="minorHAnsi"/>
                <w:lang w:val="sl-SI"/>
              </w:rPr>
              <w:t>.</w:t>
            </w:r>
          </w:p>
        </w:tc>
      </w:tr>
      <w:tr w:rsidR="00385EDE" w:rsidRPr="004A6E08" w14:paraId="334902FF" w14:textId="77777777" w:rsidTr="00E82037">
        <w:tc>
          <w:tcPr>
            <w:tcW w:w="2086" w:type="dxa"/>
          </w:tcPr>
          <w:p w14:paraId="0788A04D" w14:textId="4800717A" w:rsidR="00385EDE" w:rsidRPr="004A6E08" w:rsidRDefault="009C3CFA" w:rsidP="00E82037">
            <w:pPr>
              <w:overflowPunct w:val="0"/>
              <w:autoSpaceDE w:val="0"/>
              <w:autoSpaceDN w:val="0"/>
              <w:adjustRightInd w:val="0"/>
              <w:spacing w:after="120"/>
              <w:jc w:val="right"/>
              <w:textAlignment w:val="baseline"/>
              <w:rPr>
                <w:rFonts w:eastAsia="Times New Roman" w:cstheme="minorHAnsi"/>
                <w:lang w:val="sl-SI"/>
              </w:rPr>
            </w:pPr>
            <w:r>
              <w:rPr>
                <w:rFonts w:eastAsia="Times New Roman" w:cstheme="minorHAnsi"/>
                <w:lang w:val="sl-SI"/>
              </w:rPr>
              <w:t>2.509.393,48</w:t>
            </w:r>
            <w:r w:rsidR="00385EDE" w:rsidRPr="004A6E08">
              <w:rPr>
                <w:rFonts w:eastAsia="Times New Roman" w:cstheme="minorHAnsi"/>
                <w:lang w:val="sl-SI"/>
              </w:rPr>
              <w:t xml:space="preserve"> EUR</w:t>
            </w:r>
          </w:p>
        </w:tc>
        <w:tc>
          <w:tcPr>
            <w:tcW w:w="1976" w:type="dxa"/>
          </w:tcPr>
          <w:p w14:paraId="1F7A562F" w14:textId="104C38E5" w:rsidR="00385EDE" w:rsidRPr="004A6E08" w:rsidRDefault="009C3CFA" w:rsidP="00E82037">
            <w:pPr>
              <w:overflowPunct w:val="0"/>
              <w:autoSpaceDE w:val="0"/>
              <w:autoSpaceDN w:val="0"/>
              <w:adjustRightInd w:val="0"/>
              <w:spacing w:after="120"/>
              <w:jc w:val="right"/>
              <w:textAlignment w:val="baseline"/>
              <w:rPr>
                <w:rFonts w:eastAsia="Times New Roman" w:cstheme="minorHAnsi"/>
                <w:lang w:val="sl-SI"/>
              </w:rPr>
            </w:pPr>
            <w:r>
              <w:rPr>
                <w:rFonts w:eastAsia="Times New Roman" w:cstheme="minorHAnsi"/>
                <w:lang w:val="sl-SI"/>
              </w:rPr>
              <w:t>4.722.442,50</w:t>
            </w:r>
            <w:r w:rsidR="00385EDE" w:rsidRPr="004A6E08">
              <w:rPr>
                <w:rFonts w:eastAsia="Times New Roman" w:cstheme="minorHAnsi"/>
                <w:lang w:val="sl-SI"/>
              </w:rPr>
              <w:t xml:space="preserve"> EUR</w:t>
            </w:r>
          </w:p>
        </w:tc>
      </w:tr>
    </w:tbl>
    <w:p w14:paraId="58B2CB4D" w14:textId="77777777" w:rsidR="000F7E6F" w:rsidRDefault="000F7E6F" w:rsidP="000E49AC">
      <w:pPr>
        <w:jc w:val="both"/>
        <w:rPr>
          <w:rFonts w:cstheme="minorHAnsi"/>
        </w:rPr>
      </w:pPr>
    </w:p>
    <w:p w14:paraId="6403A037" w14:textId="5E2E2BBA" w:rsidR="000E49AC" w:rsidRPr="00B97193" w:rsidRDefault="000E49AC" w:rsidP="000E49AC">
      <w:pPr>
        <w:jc w:val="both"/>
        <w:rPr>
          <w:rFonts w:cstheme="minorHAnsi"/>
        </w:rPr>
      </w:pPr>
      <w:r w:rsidRPr="00B97193">
        <w:rPr>
          <w:rFonts w:cstheme="minorHAnsi"/>
        </w:rPr>
        <w:t>Preneseni višak iz prethodnih godina iznosi 2.</w:t>
      </w:r>
      <w:r w:rsidR="00A439A9" w:rsidRPr="00B97193">
        <w:rPr>
          <w:rFonts w:cstheme="minorHAnsi"/>
        </w:rPr>
        <w:t>701.820,57</w:t>
      </w:r>
      <w:r w:rsidRPr="00B97193">
        <w:rPr>
          <w:rFonts w:cstheme="minorHAnsi"/>
        </w:rPr>
        <w:t xml:space="preserve"> EUR.</w:t>
      </w:r>
    </w:p>
    <w:p w14:paraId="7A265B7B" w14:textId="01BE01D2" w:rsidR="000E49AC" w:rsidRPr="00B97193" w:rsidRDefault="00A439A9" w:rsidP="000E49AC">
      <w:pPr>
        <w:jc w:val="both"/>
        <w:rPr>
          <w:rFonts w:cstheme="minorHAnsi"/>
        </w:rPr>
      </w:pPr>
      <w:r w:rsidRPr="00B97193">
        <w:rPr>
          <w:rFonts w:cstheme="minorHAnsi"/>
        </w:rPr>
        <w:t>U 2024</w:t>
      </w:r>
      <w:r w:rsidR="000E49AC" w:rsidRPr="00B97193">
        <w:rPr>
          <w:rFonts w:cstheme="minorHAnsi"/>
        </w:rPr>
        <w:t>. godini ostvaren je višak prihoda u</w:t>
      </w:r>
      <w:r w:rsidRPr="00B97193">
        <w:rPr>
          <w:rFonts w:cstheme="minorHAnsi"/>
        </w:rPr>
        <w:t xml:space="preserve"> odnosu na rashode u iznosu od 2.129.034,64 </w:t>
      </w:r>
      <w:r w:rsidR="000E49AC" w:rsidRPr="00B97193">
        <w:rPr>
          <w:rFonts w:cstheme="minorHAnsi"/>
        </w:rPr>
        <w:t>EUR.</w:t>
      </w:r>
    </w:p>
    <w:p w14:paraId="3671832E" w14:textId="629B4B59" w:rsidR="005E3FFC" w:rsidRDefault="000E49AC" w:rsidP="00B97BC4">
      <w:pPr>
        <w:jc w:val="both"/>
        <w:rPr>
          <w:rFonts w:cstheme="minorHAnsi"/>
        </w:rPr>
      </w:pPr>
      <w:r w:rsidRPr="00B97193">
        <w:rPr>
          <w:rFonts w:cstheme="minorHAnsi"/>
        </w:rPr>
        <w:t xml:space="preserve">Ukupan prijenos sredstava u sljedeću godinu iznosi </w:t>
      </w:r>
      <w:r w:rsidR="00A439A9" w:rsidRPr="00B97193">
        <w:rPr>
          <w:rFonts w:cstheme="minorHAnsi"/>
        </w:rPr>
        <w:t>4.830.855,21</w:t>
      </w:r>
      <w:r w:rsidRPr="00B97193">
        <w:rPr>
          <w:rFonts w:cstheme="minorHAnsi"/>
        </w:rPr>
        <w:t xml:space="preserve"> EUR.</w:t>
      </w:r>
    </w:p>
    <w:p w14:paraId="7AA678D5" w14:textId="77777777" w:rsidR="00AE191E" w:rsidRPr="004A6E08" w:rsidRDefault="00AE191E" w:rsidP="00B97BC4">
      <w:pPr>
        <w:jc w:val="both"/>
        <w:rPr>
          <w:rFonts w:cstheme="minorHAnsi"/>
        </w:rPr>
      </w:pPr>
    </w:p>
    <w:p w14:paraId="3BC243CB" w14:textId="77777777" w:rsidR="009D3A43" w:rsidRPr="00403CE9" w:rsidRDefault="00F131A6" w:rsidP="002F2CDE">
      <w:pPr>
        <w:pStyle w:val="Heading2"/>
        <w:numPr>
          <w:ilvl w:val="1"/>
          <w:numId w:val="25"/>
        </w:numPr>
        <w:spacing w:before="80" w:line="240" w:lineRule="auto"/>
        <w:rPr>
          <w:rFonts w:asciiTheme="minorHAnsi" w:hAnsiTheme="minorHAnsi" w:cstheme="minorHAnsi"/>
          <w:b/>
          <w:sz w:val="22"/>
          <w:szCs w:val="22"/>
        </w:rPr>
      </w:pPr>
      <w:bookmarkStart w:id="15" w:name="_Toc193802954"/>
      <w:r w:rsidRPr="00403CE9">
        <w:rPr>
          <w:rFonts w:asciiTheme="minorHAnsi" w:hAnsiTheme="minorHAnsi" w:cstheme="minorHAnsi"/>
          <w:b/>
          <w:sz w:val="22"/>
          <w:szCs w:val="22"/>
        </w:rPr>
        <w:t>Obrazloženje posebnog dijela izvještaja o izvršenju financijskog plana</w:t>
      </w:r>
      <w:bookmarkEnd w:id="15"/>
    </w:p>
    <w:p w14:paraId="26AF928C" w14:textId="77777777" w:rsidR="00297B3B" w:rsidRPr="004A6E08" w:rsidRDefault="00297B3B" w:rsidP="00297B3B">
      <w:pPr>
        <w:rPr>
          <w:rFonts w:cstheme="minorHAnsi"/>
        </w:rPr>
      </w:pPr>
    </w:p>
    <w:p w14:paraId="43632CE9"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Hrvatska regulatorna agencija za mrežne djelatnosti (HAKOM) osnovana je Zakonom o izmjenama i dopunama Zakona o elektroničkim komunikacijama, kojim su unutar istog regulatornog tijela spojeni dotadašnja Hrvatska agencija za poštu i elektroničke komunikacije i Agencija za regulaciju tržišta željezničkih usluga. Osnivač HAKOM-a je Republika Hrvatska, a osnivačka prava u skladu s odredbama ovoga Zakona ostvaruju Hrvatski sabor i Vlada Republike Hrvatske.  </w:t>
      </w:r>
    </w:p>
    <w:p w14:paraId="4EBEB817"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HAKOM je nacionalni regulator na tržištu elektroničkih komunikacija i tržištima poštanskih i željezničkih usluga u Republici Hrvatskoj te tijelo za zaštitu prava putnika u željezničkom prijevozu i za provedbu Uredbe </w:t>
      </w:r>
      <w:r w:rsidRPr="00E456C6">
        <w:rPr>
          <w:rFonts w:eastAsia="Times New Roman" w:cstheme="minorHAnsi"/>
          <w:lang w:val="sl-SI"/>
        </w:rPr>
        <w:t>(EU) 2021/782 Europskog parlamenta i Vijeća od 29. travnja 2021. o pravima i obvezama putnika u željezničkom prijevozu</w:t>
      </w:r>
      <w:r>
        <w:rPr>
          <w:rFonts w:eastAsia="Times New Roman" w:cstheme="minorHAnsi"/>
          <w:lang w:val="sl-SI"/>
        </w:rPr>
        <w:t>.</w:t>
      </w:r>
    </w:p>
    <w:p w14:paraId="05A93535"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HAKOM je samostalna i neprofitna pravna osoba s javnim ovlastima u okviru djelokruga i nadležnosti propisanih Zakonom o elektroničkim komunikacijama, Zakon</w:t>
      </w:r>
      <w:r>
        <w:rPr>
          <w:rFonts w:eastAsia="Times New Roman" w:cstheme="minorHAnsi"/>
          <w:lang w:val="sl-SI"/>
        </w:rPr>
        <w:t>om o poštanskim uslugama</w:t>
      </w:r>
      <w:r w:rsidRPr="004A6E08">
        <w:rPr>
          <w:rFonts w:eastAsia="Times New Roman" w:cstheme="minorHAnsi"/>
          <w:lang w:val="sl-SI"/>
        </w:rPr>
        <w:t xml:space="preserve"> te Zakonom o regulaciji tržišta željezničkih usluga i zaštiti prava putnika u željezničkom prometu. Za svoj rad HAKOM odgovara Hrvatskom saboru, kojemu, kao i Vladi Republike Hrvatske, podnosi godišnje izvješće o radu.  </w:t>
      </w:r>
    </w:p>
    <w:p w14:paraId="476AE67B"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Pravni prednici HAKOM-a započeli su sa svojim radom 2002. u području elektroničkih komunikacija, 2004. u području poštanskih usluga, te 2009. u području željezničkih usluga.  </w:t>
      </w:r>
    </w:p>
    <w:p w14:paraId="6B18C74F"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Djelatnosti HAKOM-a obuhvaćaju sve regulatorne poslove, uključujući rješavanje sporova između operatora te između operatora i krajnjih korisnika, zaštitu krajnjih korisnika i putnika te poslove inspekcijskog nadzora, na tržištima elektroničkih komunikacija, poštanskih usluga, željezničkih usluga i u području prava putnika u željezničkog prijevozu.  </w:t>
      </w:r>
    </w:p>
    <w:p w14:paraId="30A31E9B"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U skladu s odredbama Zakona o elektroničkim komunikacijama, HAKOM-om upravlja Vijeće koje se sastoji od pet članova, koje na prijedlog Vlade Republike Hrvatske imenuje Hrvatski sabor. Stručne poslove obavlja Stručna služba na čijem čelu se nalazi ravnatelj. Vijeće HAKOM-a neposredno odlučuje o poslovima Agencije gdje je to propisano mjerodavnim zakonima. U ostalim poslovima odluke donosi ravnatelj, odnosno inspektori u poslovima inspekcijskog nadzora.  </w:t>
      </w:r>
    </w:p>
    <w:p w14:paraId="7CD9F25A"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Osnovne zadaće HAKOM-a, pored regulatornih i inspekcijskih poslova na navedenim tržištima, uključuju i zaštitu korisnika komunikacijskih i poštanskih usluga, putnika u željezničkom prijevozu te gospodarenje ograničenim općim dobrima od interesa za Republiku Hrvatsku, kao što su nadzor i upravljanje radiofrekvencijskim spektrom te adresnim i brojevnim prostorom. HAKOM je također zadužen za provedbu Okvirnog nacionalnog programa za razvoj infrastrukture širokopojasnog pristupa u područjima u kojima ne postoji dostatan komercijalni interes za ulaganja (ONP). </w:t>
      </w:r>
    </w:p>
    <w:p w14:paraId="503362ED"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Područje elektroničkih komunikacija, poštanskih usluga i željezničkog prometa je u djelokrugu rada Ministarstva mora, prometa i infrastrukture, kao središnjeg tijela državne uprave.</w:t>
      </w:r>
    </w:p>
    <w:p w14:paraId="5E66FE3B"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3033F8FF"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tbl>
      <w:tblPr>
        <w:tblStyle w:val="StilTablice3"/>
        <w:tblW w:w="10301" w:type="dxa"/>
        <w:jc w:val="center"/>
        <w:tblLook w:val="04A0" w:firstRow="1" w:lastRow="0" w:firstColumn="1" w:lastColumn="0" w:noHBand="0" w:noVBand="1"/>
      </w:tblPr>
      <w:tblGrid>
        <w:gridCol w:w="1724"/>
        <w:gridCol w:w="2007"/>
        <w:gridCol w:w="2106"/>
        <w:gridCol w:w="2007"/>
        <w:gridCol w:w="1088"/>
        <w:gridCol w:w="1369"/>
      </w:tblGrid>
      <w:tr w:rsidR="005658F6" w:rsidRPr="004A6E08" w14:paraId="30CC436C" w14:textId="77777777" w:rsidTr="005658F6">
        <w:trPr>
          <w:jc w:val="center"/>
        </w:trPr>
        <w:tc>
          <w:tcPr>
            <w:tcW w:w="1724" w:type="dxa"/>
            <w:shd w:val="clear" w:color="auto" w:fill="B5C0D8"/>
          </w:tcPr>
          <w:p w14:paraId="680A51A2" w14:textId="77777777" w:rsidR="005658F6" w:rsidRPr="004A6E08" w:rsidRDefault="005658F6" w:rsidP="005658F6">
            <w:pPr>
              <w:overflowPunct w:val="0"/>
              <w:autoSpaceDE w:val="0"/>
              <w:autoSpaceDN w:val="0"/>
              <w:adjustRightInd w:val="0"/>
              <w:jc w:val="left"/>
              <w:textAlignment w:val="baseline"/>
              <w:rPr>
                <w:rFonts w:asciiTheme="minorHAnsi" w:eastAsia="Times New Roman" w:hAnsiTheme="minorHAnsi" w:cstheme="minorHAnsi"/>
                <w:bCs/>
                <w:sz w:val="22"/>
                <w:lang w:val="sl-SI" w:eastAsia="hr-HR"/>
              </w:rPr>
            </w:pPr>
          </w:p>
        </w:tc>
        <w:tc>
          <w:tcPr>
            <w:tcW w:w="2007" w:type="dxa"/>
            <w:shd w:val="clear" w:color="auto" w:fill="B5C0D8"/>
          </w:tcPr>
          <w:p w14:paraId="6EEA9960"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 xml:space="preserve">Izvršenje 2023. (EUR) </w:t>
            </w:r>
          </w:p>
        </w:tc>
        <w:tc>
          <w:tcPr>
            <w:tcW w:w="2106" w:type="dxa"/>
            <w:shd w:val="clear" w:color="auto" w:fill="B5C0D8"/>
          </w:tcPr>
          <w:p w14:paraId="390AFCC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 xml:space="preserve">Plan 2024. (EUR) </w:t>
            </w:r>
          </w:p>
        </w:tc>
        <w:tc>
          <w:tcPr>
            <w:tcW w:w="2007" w:type="dxa"/>
            <w:shd w:val="clear" w:color="auto" w:fill="B5C0D8"/>
          </w:tcPr>
          <w:p w14:paraId="759100F0"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Izvršenje 2024. (EUR</w:t>
            </w:r>
            <w:r w:rsidRPr="004A6E08">
              <w:rPr>
                <w:rFonts w:asciiTheme="minorHAnsi" w:eastAsia="Times New Roman" w:hAnsiTheme="minorHAnsi" w:cstheme="minorHAnsi"/>
                <w:bCs/>
                <w:sz w:val="22"/>
                <w:lang w:val="sl-SI" w:eastAsia="hr-HR"/>
              </w:rPr>
              <w:t>)</w:t>
            </w:r>
          </w:p>
        </w:tc>
        <w:tc>
          <w:tcPr>
            <w:tcW w:w="1088" w:type="dxa"/>
            <w:shd w:val="clear" w:color="auto" w:fill="B5C0D8"/>
          </w:tcPr>
          <w:p w14:paraId="56DDE76E"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./plan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c>
          <w:tcPr>
            <w:tcW w:w="1369" w:type="dxa"/>
            <w:shd w:val="clear" w:color="auto" w:fill="B5C0D8"/>
          </w:tcPr>
          <w:p w14:paraId="1A0444B3"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./202</w:t>
            </w:r>
            <w:r>
              <w:rPr>
                <w:rFonts w:asciiTheme="minorHAnsi" w:eastAsia="Times New Roman" w:hAnsiTheme="minorHAnsi" w:cstheme="minorHAnsi"/>
                <w:bCs/>
                <w:sz w:val="22"/>
                <w:lang w:val="sl-SI" w:eastAsia="hr-HR"/>
              </w:rPr>
              <w:t>3</w:t>
            </w:r>
            <w:r w:rsidRPr="004A6E08">
              <w:rPr>
                <w:rFonts w:asciiTheme="minorHAnsi" w:eastAsia="Times New Roman" w:hAnsiTheme="minorHAnsi" w:cstheme="minorHAnsi"/>
                <w:bCs/>
                <w:sz w:val="22"/>
                <w:lang w:val="sl-SI" w:eastAsia="hr-HR"/>
              </w:rPr>
              <w:t>.</w:t>
            </w:r>
          </w:p>
        </w:tc>
      </w:tr>
      <w:tr w:rsidR="005658F6" w:rsidRPr="004A6E08" w14:paraId="2E882AD7" w14:textId="77777777" w:rsidTr="005658F6">
        <w:trPr>
          <w:jc w:val="center"/>
        </w:trPr>
        <w:tc>
          <w:tcPr>
            <w:tcW w:w="1724" w:type="dxa"/>
            <w:vAlign w:val="top"/>
          </w:tcPr>
          <w:p w14:paraId="27434926"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06565-Hrvatska regulatorna agencija za mrežne djelatnosti</w:t>
            </w:r>
          </w:p>
        </w:tc>
        <w:tc>
          <w:tcPr>
            <w:tcW w:w="2007" w:type="dxa"/>
          </w:tcPr>
          <w:p w14:paraId="5B59F226"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13.762.107</w:t>
            </w:r>
          </w:p>
        </w:tc>
        <w:tc>
          <w:tcPr>
            <w:tcW w:w="2106" w:type="dxa"/>
          </w:tcPr>
          <w:p w14:paraId="24AB7040"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17.071.959</w:t>
            </w:r>
          </w:p>
        </w:tc>
        <w:tc>
          <w:tcPr>
            <w:tcW w:w="2007" w:type="dxa"/>
          </w:tcPr>
          <w:p w14:paraId="5FFE15EC"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13.791.729</w:t>
            </w:r>
          </w:p>
        </w:tc>
        <w:tc>
          <w:tcPr>
            <w:tcW w:w="1088" w:type="dxa"/>
          </w:tcPr>
          <w:p w14:paraId="319BF44C"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80,8</w:t>
            </w:r>
          </w:p>
        </w:tc>
        <w:tc>
          <w:tcPr>
            <w:tcW w:w="1369" w:type="dxa"/>
          </w:tcPr>
          <w:p w14:paraId="46F7E139"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100,2</w:t>
            </w:r>
          </w:p>
        </w:tc>
      </w:tr>
      <w:tr w:rsidR="005658F6" w:rsidRPr="004A6E08" w14:paraId="3B0CE45B" w14:textId="77777777" w:rsidTr="005658F6">
        <w:trPr>
          <w:jc w:val="center"/>
        </w:trPr>
        <w:tc>
          <w:tcPr>
            <w:tcW w:w="1724" w:type="dxa"/>
          </w:tcPr>
          <w:p w14:paraId="38E0397F"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sz w:val="22"/>
                <w:lang w:val="sl-SI"/>
              </w:rPr>
            </w:pPr>
            <w:r w:rsidRPr="004A6E08">
              <w:rPr>
                <w:rFonts w:asciiTheme="minorHAnsi" w:eastAsia="Times New Roman" w:hAnsiTheme="minorHAnsi" w:cstheme="minorHAnsi"/>
                <w:sz w:val="22"/>
                <w:lang w:val="sl-SI"/>
              </w:rPr>
              <w:t>3107-RAZVOJ TRŽIŠTA POŠTANSKIH USLUGA I ELEKTRONIČKIH KOMUNIKACIJA</w:t>
            </w:r>
          </w:p>
        </w:tc>
        <w:tc>
          <w:tcPr>
            <w:tcW w:w="2007" w:type="dxa"/>
          </w:tcPr>
          <w:p w14:paraId="0D0A8A3E"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sz w:val="22"/>
                <w:lang w:val="sl-SI"/>
              </w:rPr>
            </w:pPr>
            <w:r>
              <w:rPr>
                <w:rFonts w:asciiTheme="minorHAnsi" w:eastAsia="Times New Roman" w:hAnsiTheme="minorHAnsi" w:cstheme="minorHAnsi"/>
                <w:sz w:val="22"/>
                <w:lang w:val="sl-SI"/>
              </w:rPr>
              <w:t>13.762.107</w:t>
            </w:r>
          </w:p>
        </w:tc>
        <w:tc>
          <w:tcPr>
            <w:tcW w:w="2106" w:type="dxa"/>
          </w:tcPr>
          <w:p w14:paraId="68661C7A"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sz w:val="22"/>
                <w:lang w:val="sl-SI"/>
              </w:rPr>
            </w:pPr>
            <w:r>
              <w:rPr>
                <w:rFonts w:asciiTheme="minorHAnsi" w:eastAsia="Times New Roman" w:hAnsiTheme="minorHAnsi" w:cstheme="minorHAnsi"/>
                <w:sz w:val="22"/>
                <w:lang w:val="sl-SI"/>
              </w:rPr>
              <w:t>17.071.959</w:t>
            </w:r>
          </w:p>
        </w:tc>
        <w:tc>
          <w:tcPr>
            <w:tcW w:w="2007" w:type="dxa"/>
          </w:tcPr>
          <w:p w14:paraId="305F57C0"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sz w:val="22"/>
                <w:lang w:val="sl-SI"/>
              </w:rPr>
            </w:pPr>
            <w:r>
              <w:rPr>
                <w:rFonts w:asciiTheme="minorHAnsi" w:eastAsia="Times New Roman" w:hAnsiTheme="minorHAnsi" w:cstheme="minorHAnsi"/>
                <w:sz w:val="22"/>
                <w:lang w:val="sl-SI"/>
              </w:rPr>
              <w:t>13.791.729</w:t>
            </w:r>
          </w:p>
        </w:tc>
        <w:tc>
          <w:tcPr>
            <w:tcW w:w="1088" w:type="dxa"/>
          </w:tcPr>
          <w:p w14:paraId="54B63C03"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sz w:val="22"/>
                <w:lang w:val="sl-SI"/>
              </w:rPr>
            </w:pPr>
            <w:r>
              <w:rPr>
                <w:rFonts w:asciiTheme="minorHAnsi" w:eastAsia="Times New Roman" w:hAnsiTheme="minorHAnsi" w:cstheme="minorHAnsi"/>
                <w:sz w:val="22"/>
                <w:lang w:val="sl-SI"/>
              </w:rPr>
              <w:t>80,8</w:t>
            </w:r>
          </w:p>
        </w:tc>
        <w:tc>
          <w:tcPr>
            <w:tcW w:w="1369" w:type="dxa"/>
          </w:tcPr>
          <w:p w14:paraId="6E292211"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sz w:val="22"/>
                <w:lang w:val="sl-SI"/>
              </w:rPr>
            </w:pPr>
            <w:r>
              <w:rPr>
                <w:rFonts w:asciiTheme="minorHAnsi" w:eastAsia="Times New Roman" w:hAnsiTheme="minorHAnsi" w:cstheme="minorHAnsi"/>
                <w:sz w:val="22"/>
                <w:lang w:val="sl-SI"/>
              </w:rPr>
              <w:t>100,2</w:t>
            </w:r>
          </w:p>
        </w:tc>
      </w:tr>
    </w:tbl>
    <w:p w14:paraId="78A14C66" w14:textId="77777777" w:rsidR="005658F6" w:rsidRPr="004A6E08" w:rsidRDefault="005658F6" w:rsidP="005658F6">
      <w:pPr>
        <w:overflowPunct w:val="0"/>
        <w:autoSpaceDE w:val="0"/>
        <w:autoSpaceDN w:val="0"/>
        <w:adjustRightInd w:val="0"/>
        <w:spacing w:after="120" w:line="240" w:lineRule="auto"/>
        <w:textAlignment w:val="baseline"/>
        <w:rPr>
          <w:rFonts w:eastAsia="Times New Roman" w:cstheme="minorHAnsi"/>
          <w:lang w:val="sl-SI"/>
        </w:rPr>
      </w:pPr>
    </w:p>
    <w:p w14:paraId="5EFCE0FC" w14:textId="77777777" w:rsidR="005658F6" w:rsidRPr="004A6E08" w:rsidRDefault="005658F6" w:rsidP="005658F6">
      <w:pPr>
        <w:rPr>
          <w:rFonts w:cstheme="minorHAnsi"/>
          <w:lang w:val="sl-SI"/>
        </w:rPr>
      </w:pPr>
      <w:r w:rsidRPr="004A6E08">
        <w:rPr>
          <w:rFonts w:cstheme="minorHAnsi"/>
          <w:lang w:val="sl-SI"/>
        </w:rPr>
        <w:t>3107 RAZVOJ TRŽIŠTA POŠTANSKIH USLUGA I ELEKTRONIČKIH KOMUNIKACIJA</w:t>
      </w:r>
    </w:p>
    <w:tbl>
      <w:tblPr>
        <w:tblStyle w:val="StilTablice3"/>
        <w:tblW w:w="10206" w:type="dxa"/>
        <w:jc w:val="center"/>
        <w:tblLook w:val="04A0" w:firstRow="1" w:lastRow="0" w:firstColumn="1" w:lastColumn="0" w:noHBand="0" w:noVBand="1"/>
      </w:tblPr>
      <w:tblGrid>
        <w:gridCol w:w="1725"/>
        <w:gridCol w:w="1961"/>
        <w:gridCol w:w="1969"/>
        <w:gridCol w:w="1969"/>
        <w:gridCol w:w="1212"/>
        <w:gridCol w:w="1370"/>
      </w:tblGrid>
      <w:tr w:rsidR="005658F6" w:rsidRPr="004A6E08" w14:paraId="221D3962" w14:textId="77777777" w:rsidTr="007F0958">
        <w:trPr>
          <w:jc w:val="center"/>
        </w:trPr>
        <w:tc>
          <w:tcPr>
            <w:tcW w:w="1725" w:type="dxa"/>
            <w:shd w:val="clear" w:color="auto" w:fill="B5C0D8"/>
          </w:tcPr>
          <w:p w14:paraId="26500E2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p>
        </w:tc>
        <w:tc>
          <w:tcPr>
            <w:tcW w:w="1961" w:type="dxa"/>
            <w:shd w:val="clear" w:color="auto" w:fill="B5C0D8"/>
          </w:tcPr>
          <w:p w14:paraId="683C73A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Izvršenje 2023. (EUR</w:t>
            </w:r>
            <w:r w:rsidRPr="004A6E08">
              <w:rPr>
                <w:rFonts w:asciiTheme="minorHAnsi" w:eastAsia="Times New Roman" w:hAnsiTheme="minorHAnsi" w:cstheme="minorHAnsi"/>
                <w:bCs/>
                <w:sz w:val="22"/>
                <w:lang w:val="sl-SI" w:eastAsia="hr-HR"/>
              </w:rPr>
              <w:t>)</w:t>
            </w:r>
          </w:p>
        </w:tc>
        <w:tc>
          <w:tcPr>
            <w:tcW w:w="1969" w:type="dxa"/>
            <w:shd w:val="clear" w:color="auto" w:fill="B5C0D8"/>
          </w:tcPr>
          <w:p w14:paraId="722E3E1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Plan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 (</w:t>
            </w:r>
            <w:r>
              <w:rPr>
                <w:rFonts w:asciiTheme="minorHAnsi" w:eastAsia="Times New Roman" w:hAnsiTheme="minorHAnsi" w:cstheme="minorHAnsi"/>
                <w:bCs/>
                <w:sz w:val="22"/>
                <w:lang w:val="sl-SI" w:eastAsia="hr-HR"/>
              </w:rPr>
              <w:t>EUR</w:t>
            </w:r>
            <w:r w:rsidRPr="004A6E08">
              <w:rPr>
                <w:rFonts w:asciiTheme="minorHAnsi" w:eastAsia="Times New Roman" w:hAnsiTheme="minorHAnsi" w:cstheme="minorHAnsi"/>
                <w:bCs/>
                <w:sz w:val="22"/>
                <w:lang w:val="sl-SI" w:eastAsia="hr-HR"/>
              </w:rPr>
              <w:t>)</w:t>
            </w:r>
          </w:p>
        </w:tc>
        <w:tc>
          <w:tcPr>
            <w:tcW w:w="1969" w:type="dxa"/>
            <w:shd w:val="clear" w:color="auto" w:fill="B5C0D8"/>
          </w:tcPr>
          <w:p w14:paraId="7311B3F3"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Izvršenje 2024. (EUR</w:t>
            </w:r>
            <w:r w:rsidRPr="004A6E08">
              <w:rPr>
                <w:rFonts w:asciiTheme="minorHAnsi" w:eastAsia="Times New Roman" w:hAnsiTheme="minorHAnsi" w:cstheme="minorHAnsi"/>
                <w:bCs/>
                <w:sz w:val="22"/>
                <w:lang w:val="sl-SI" w:eastAsia="hr-HR"/>
              </w:rPr>
              <w:t>)</w:t>
            </w:r>
          </w:p>
        </w:tc>
        <w:tc>
          <w:tcPr>
            <w:tcW w:w="1212" w:type="dxa"/>
            <w:shd w:val="clear" w:color="auto" w:fill="B5C0D8"/>
          </w:tcPr>
          <w:p w14:paraId="0931742E"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./plan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c>
          <w:tcPr>
            <w:tcW w:w="1370" w:type="dxa"/>
            <w:shd w:val="clear" w:color="auto" w:fill="B5C0D8"/>
          </w:tcPr>
          <w:p w14:paraId="4942C8C6"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./202</w:t>
            </w:r>
            <w:r>
              <w:rPr>
                <w:rFonts w:asciiTheme="minorHAnsi" w:eastAsia="Times New Roman" w:hAnsiTheme="minorHAnsi" w:cstheme="minorHAnsi"/>
                <w:bCs/>
                <w:sz w:val="22"/>
                <w:lang w:val="sl-SI" w:eastAsia="hr-HR"/>
              </w:rPr>
              <w:t>3</w:t>
            </w:r>
            <w:r w:rsidRPr="004A6E08">
              <w:rPr>
                <w:rFonts w:asciiTheme="minorHAnsi" w:eastAsia="Times New Roman" w:hAnsiTheme="minorHAnsi" w:cstheme="minorHAnsi"/>
                <w:bCs/>
                <w:sz w:val="22"/>
                <w:lang w:val="sl-SI" w:eastAsia="hr-HR"/>
              </w:rPr>
              <w:t>.</w:t>
            </w:r>
          </w:p>
        </w:tc>
      </w:tr>
      <w:tr w:rsidR="005658F6" w:rsidRPr="004A6E08" w14:paraId="0CBEBCDA" w14:textId="77777777" w:rsidTr="007F0958">
        <w:trPr>
          <w:jc w:val="center"/>
        </w:trPr>
        <w:tc>
          <w:tcPr>
            <w:tcW w:w="1725" w:type="dxa"/>
          </w:tcPr>
          <w:p w14:paraId="562F3C3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3107-RAZVOJ TRŽIŠTA POŠTANSKIH USLUGA I ELEKTRONIČKIH KOMUNIKACIJA</w:t>
            </w:r>
          </w:p>
        </w:tc>
        <w:tc>
          <w:tcPr>
            <w:tcW w:w="1961" w:type="dxa"/>
          </w:tcPr>
          <w:p w14:paraId="6D250A9A"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13.762.107</w:t>
            </w:r>
          </w:p>
        </w:tc>
        <w:tc>
          <w:tcPr>
            <w:tcW w:w="1969" w:type="dxa"/>
          </w:tcPr>
          <w:p w14:paraId="411497E0"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17.071.959</w:t>
            </w:r>
          </w:p>
        </w:tc>
        <w:tc>
          <w:tcPr>
            <w:tcW w:w="1969" w:type="dxa"/>
          </w:tcPr>
          <w:p w14:paraId="4E1355CC"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13.791.729</w:t>
            </w:r>
          </w:p>
        </w:tc>
        <w:tc>
          <w:tcPr>
            <w:tcW w:w="1212" w:type="dxa"/>
          </w:tcPr>
          <w:p w14:paraId="56CF62C0"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80,8</w:t>
            </w:r>
          </w:p>
        </w:tc>
        <w:tc>
          <w:tcPr>
            <w:tcW w:w="1370" w:type="dxa"/>
          </w:tcPr>
          <w:p w14:paraId="6D0C5250"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100,2</w:t>
            </w:r>
          </w:p>
        </w:tc>
      </w:tr>
    </w:tbl>
    <w:p w14:paraId="0C5FBF5B" w14:textId="77777777" w:rsidR="005658F6" w:rsidRPr="004A6E08" w:rsidRDefault="005658F6" w:rsidP="005658F6">
      <w:pPr>
        <w:overflowPunct w:val="0"/>
        <w:autoSpaceDE w:val="0"/>
        <w:autoSpaceDN w:val="0"/>
        <w:adjustRightInd w:val="0"/>
        <w:spacing w:after="120" w:line="240" w:lineRule="auto"/>
        <w:textAlignment w:val="baseline"/>
        <w:rPr>
          <w:rFonts w:eastAsia="Times New Roman" w:cstheme="minorHAnsi"/>
          <w:lang w:val="sl-SI"/>
        </w:rPr>
      </w:pPr>
    </w:p>
    <w:p w14:paraId="503CB676"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 xml:space="preserve">Cilj 1. Visoka i ujednačena razvijenost širokopojasnog pristupa Internetu </w:t>
      </w:r>
    </w:p>
    <w:p w14:paraId="4430B3BE"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Opis provedbe cilja programa</w:t>
      </w:r>
    </w:p>
    <w:p w14:paraId="1B6C68ED"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29020AF7"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F54C47">
        <w:rPr>
          <w:rFonts w:eastAsia="Times New Roman" w:cstheme="minorHAnsi"/>
        </w:rPr>
        <w:t xml:space="preserve">Osigurati tržišno natjecanje jedan je od glavnih strateških ciljeva HAKOM-a jer pravični i transparentni uvjeti na tržištu potiču inovacije i bolje usluge za korisnike. To se, između ostaloga, osigurava analizama tržišta i odgovarajućim odlukama, koje se temelje na trenutačnom regulatornom okviru EU-a. </w:t>
      </w:r>
    </w:p>
    <w:p w14:paraId="4E6B686B" w14:textId="77777777" w:rsidR="005658F6" w:rsidRPr="00F54C47" w:rsidRDefault="005658F6" w:rsidP="005658F6">
      <w:pPr>
        <w:overflowPunct w:val="0"/>
        <w:autoSpaceDE w:val="0"/>
        <w:autoSpaceDN w:val="0"/>
        <w:adjustRightInd w:val="0"/>
        <w:spacing w:after="120" w:line="240" w:lineRule="auto"/>
        <w:jc w:val="both"/>
        <w:textAlignment w:val="baseline"/>
        <w:rPr>
          <w:rFonts w:eastAsia="Times New Roman" w:cstheme="minorHAnsi"/>
        </w:rPr>
      </w:pPr>
      <w:r>
        <w:rPr>
          <w:rFonts w:eastAsia="Times New Roman" w:cstheme="minorHAnsi"/>
        </w:rPr>
        <w:t xml:space="preserve">Analizama veleprodajnih tržišta širokopojasnog pristupa koje je HAKOM usvojio u srpnju 2023., </w:t>
      </w:r>
      <w:r w:rsidRPr="00F54C47">
        <w:rPr>
          <w:rFonts w:eastAsia="Times New Roman" w:cstheme="minorHAnsi"/>
        </w:rPr>
        <w:t>HT-u su kao SMP operatoru određene regulatorne obveze kojima se omogućava pristup veleprodajnim uslugama na temelju kojih ostali operatori pružaju svoje usluge krajnjim korisnicima. Važno je da su cijene tih usluga troškovno usmjerene kako bi se omogućilo djelotvorno tržišno natjecanje. Na temelju ažuriranog troškovnog modela, HAKOM je u 2024. odredio nove veleprodajne cijene koje će se primjenjivati sljedeće tri godine kako bi se osigurala regulatorna predvidljivost. Također, HAKOM je odredio i nove jednokratne naknade za aktivaciju/deaktivaciju veleprodajnih usluga.</w:t>
      </w:r>
    </w:p>
    <w:p w14:paraId="09919DAD" w14:textId="77777777" w:rsidR="005658F6" w:rsidRPr="00F54C47"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F54C47">
        <w:rPr>
          <w:rFonts w:eastAsia="Times New Roman" w:cstheme="minorHAnsi"/>
        </w:rPr>
        <w:t xml:space="preserve">U prosincu 2024. donesena je odluka kojom je određena stopa povrata uloženog kapitala (WACC) za usluge u javnoj komunikacijskoj mreži u iznosu od 4,95 posto. Za usluge putem FTTH/FTTB/FTTDP pristupa stopa povrata uloženog </w:t>
      </w:r>
      <w:r w:rsidRPr="00F54C47">
        <w:rPr>
          <w:rFonts w:eastAsia="Times New Roman" w:cstheme="minorHAnsi"/>
        </w:rPr>
        <w:lastRenderedPageBreak/>
        <w:t>kapitala uvećava se za dodatnu premiju u iznosu od 1,59 posto. Nove vrijednosti WACC-a će se upotrijebiti u svim budućim odlukama o cijenama reguliranih veleprodajnih usluga.</w:t>
      </w:r>
    </w:p>
    <w:p w14:paraId="325AB04B" w14:textId="77777777" w:rsidR="005658F6" w:rsidRPr="00F54C47"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F54C47">
        <w:rPr>
          <w:rFonts w:eastAsia="Times New Roman" w:cstheme="minorHAnsi"/>
        </w:rPr>
        <w:t xml:space="preserve">U svrhu provedbe obveze nediskriminacije, HAKOM je u suradnji s operatorima donio odluku o uvođenju modela istovjetnih ulaznih proizvoda (Equivalence of input – EoI). Svrha mjere EoI-a je da se maloprodaja HT-a koristi istim sustavima i procesima kao i operatori korisnici veleprodajne usluge kako bi se osigurao visok stupanj nediskriminacije. </w:t>
      </w:r>
    </w:p>
    <w:p w14:paraId="5C29FACC" w14:textId="77777777" w:rsidR="005658F6" w:rsidRPr="00F54C47"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F54C47">
        <w:rPr>
          <w:rFonts w:eastAsia="Times New Roman" w:cstheme="minorHAnsi"/>
        </w:rPr>
        <w:t>HT i njegova maloprodajna jedinica Iskon obvezni su provoditi test istiskivanja marže za uslugu širokopojasnog pristupa internetu i usko povezanu IPTV uslugu. Test se provodi u skladu s Metodologijom provođenja testa istiskivanja marže, koju donosi HAKOM. HAKOM je u 2024. uskladio predmetnu metodologiju s okolnostima na tržištu i zaključcima iz analiza tržišta. Metodologija je donesena u siječnju 2025.</w:t>
      </w:r>
    </w:p>
    <w:p w14:paraId="51873DDF" w14:textId="77777777" w:rsidR="005658F6" w:rsidRPr="00E721EB"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C36F73">
        <w:rPr>
          <w:rFonts w:eastAsia="Times New Roman" w:cstheme="minorHAnsi"/>
        </w:rPr>
        <w:t xml:space="preserve">HAKOM očekuje da će gore opisane nove odluke dodatno pridonijeti daljnjim ulaganjima u VHCN mreže te migraciji korisnika s bakrene mreže na VHCN mreže. </w:t>
      </w:r>
    </w:p>
    <w:p w14:paraId="4C5D8514" w14:textId="77777777" w:rsidR="005658F6" w:rsidRPr="00E721EB"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E721EB">
        <w:rPr>
          <w:rFonts w:eastAsia="Times New Roman" w:cstheme="minorHAnsi"/>
        </w:rPr>
        <w:t>Prema neslužbenim preliminarnim podacima o pokrivenosti na kraju lipnja 202</w:t>
      </w:r>
      <w:r>
        <w:rPr>
          <w:rFonts w:eastAsia="Times New Roman" w:cstheme="minorHAnsi"/>
        </w:rPr>
        <w:t>4</w:t>
      </w:r>
      <w:r w:rsidRPr="00E721EB">
        <w:rPr>
          <w:rFonts w:eastAsia="Times New Roman" w:cstheme="minorHAnsi"/>
        </w:rPr>
        <w:t>. godine (koji će biti izvješteni u sklopu DESI 202</w:t>
      </w:r>
      <w:r>
        <w:rPr>
          <w:rFonts w:eastAsia="Times New Roman" w:cstheme="minorHAnsi"/>
        </w:rPr>
        <w:t>5</w:t>
      </w:r>
      <w:r w:rsidRPr="00E721EB">
        <w:rPr>
          <w:rFonts w:eastAsia="Times New Roman" w:cstheme="minorHAnsi"/>
        </w:rPr>
        <w:t xml:space="preserve"> izvještaja), pokrivenost nepokretnim mrežama vrlo velikog kapaciteta</w:t>
      </w:r>
      <w:r>
        <w:rPr>
          <w:rFonts w:eastAsia="Times New Roman" w:cstheme="minorHAnsi"/>
        </w:rPr>
        <w:t xml:space="preserve"> (VHCN mreže)</w:t>
      </w:r>
      <w:r w:rsidRPr="00E721EB">
        <w:rPr>
          <w:rFonts w:eastAsia="Times New Roman" w:cstheme="minorHAnsi"/>
        </w:rPr>
        <w:t xml:space="preserve"> je narasla na </w:t>
      </w:r>
      <w:r>
        <w:rPr>
          <w:rFonts w:eastAsia="Times New Roman" w:cstheme="minorHAnsi"/>
        </w:rPr>
        <w:t>78,9</w:t>
      </w:r>
      <w:r w:rsidRPr="00E721EB">
        <w:rPr>
          <w:rFonts w:eastAsia="Times New Roman" w:cstheme="minorHAnsi"/>
        </w:rPr>
        <w:t>% sa 6</w:t>
      </w:r>
      <w:r>
        <w:rPr>
          <w:rFonts w:eastAsia="Times New Roman" w:cstheme="minorHAnsi"/>
        </w:rPr>
        <w:t>7</w:t>
      </w:r>
      <w:r w:rsidRPr="00E721EB">
        <w:rPr>
          <w:rFonts w:eastAsia="Times New Roman" w:cstheme="minorHAnsi"/>
        </w:rPr>
        <w:t>,</w:t>
      </w:r>
      <w:r>
        <w:rPr>
          <w:rFonts w:eastAsia="Times New Roman" w:cstheme="minorHAnsi"/>
        </w:rPr>
        <w:t>8</w:t>
      </w:r>
      <w:r w:rsidRPr="00E721EB">
        <w:rPr>
          <w:rFonts w:eastAsia="Times New Roman" w:cstheme="minorHAnsi"/>
        </w:rPr>
        <w:t>%, koliko je iznosila na kraju lipnja 202</w:t>
      </w:r>
      <w:r>
        <w:rPr>
          <w:rFonts w:eastAsia="Times New Roman" w:cstheme="minorHAnsi"/>
        </w:rPr>
        <w:t>3</w:t>
      </w:r>
      <w:r w:rsidRPr="00E721EB">
        <w:rPr>
          <w:rFonts w:eastAsia="Times New Roman" w:cstheme="minorHAnsi"/>
        </w:rPr>
        <w:t>. Porast pokrivenosti VHCN mrežama, izravna je posljedica nastavka rasta ulaganja u nove svjetlovodne pristupne mreže i nadogradnje postojećih HFC mreža na DOCSIS 3.1. standard</w:t>
      </w:r>
      <w:r>
        <w:rPr>
          <w:rFonts w:eastAsia="Times New Roman" w:cstheme="minorHAnsi"/>
        </w:rPr>
        <w:t xml:space="preserve"> u koje je uloženo 105 milijuna eura, 20% više nego u 2023. godini. </w:t>
      </w:r>
    </w:p>
    <w:p w14:paraId="3AC72DC7"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E721EB">
        <w:rPr>
          <w:rFonts w:eastAsia="Times New Roman" w:cstheme="minorHAnsi"/>
        </w:rPr>
        <w:t>Na kraju 202</w:t>
      </w:r>
      <w:r>
        <w:rPr>
          <w:rFonts w:eastAsia="Times New Roman" w:cstheme="minorHAnsi"/>
        </w:rPr>
        <w:t>4</w:t>
      </w:r>
      <w:r w:rsidRPr="00E721EB">
        <w:rPr>
          <w:rFonts w:eastAsia="Times New Roman" w:cstheme="minorHAnsi"/>
        </w:rPr>
        <w:t xml:space="preserve">. godine, u Republici Hrvatskoj </w:t>
      </w:r>
      <w:r>
        <w:rPr>
          <w:rFonts w:eastAsia="Times New Roman" w:cstheme="minorHAnsi"/>
        </w:rPr>
        <w:t xml:space="preserve">ostvareno je ukupno </w:t>
      </w:r>
      <w:r w:rsidRPr="00B34261">
        <w:rPr>
          <w:rFonts w:eastAsia="Times New Roman" w:cstheme="minorHAnsi"/>
        </w:rPr>
        <w:t xml:space="preserve">1.147.086 </w:t>
      </w:r>
      <w:r w:rsidRPr="00E721EB">
        <w:rPr>
          <w:rFonts w:eastAsia="Times New Roman" w:cstheme="minorHAnsi"/>
        </w:rPr>
        <w:t>priključaka širokopojasnog pristupa internetu putem mreže nepokretnih komunikacija, u odnosu na njih ukupno 1.113.945 na kraju 202</w:t>
      </w:r>
      <w:r>
        <w:rPr>
          <w:rFonts w:eastAsia="Times New Roman" w:cstheme="minorHAnsi"/>
        </w:rPr>
        <w:t>3</w:t>
      </w:r>
      <w:r w:rsidRPr="00E721EB">
        <w:rPr>
          <w:rFonts w:eastAsia="Times New Roman" w:cstheme="minorHAnsi"/>
        </w:rPr>
        <w:t xml:space="preserve">. </w:t>
      </w:r>
    </w:p>
    <w:p w14:paraId="0633F926"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rPr>
      </w:pPr>
      <w:r>
        <w:rPr>
          <w:rFonts w:eastAsia="Times New Roman" w:cstheme="minorHAnsi"/>
        </w:rPr>
        <w:t xml:space="preserve">Broj VHCN priključaka je na kraju </w:t>
      </w:r>
      <w:r w:rsidRPr="00D7480A">
        <w:rPr>
          <w:rFonts w:eastAsia="Times New Roman" w:cstheme="minorHAnsi"/>
        </w:rPr>
        <w:t>2024. dosegnuo 515.558</w:t>
      </w:r>
      <w:r>
        <w:rPr>
          <w:rFonts w:eastAsia="Times New Roman" w:cstheme="minorHAnsi"/>
        </w:rPr>
        <w:t xml:space="preserve"> priključaka u odnosu na njih 187.911 na kraju 2023. pa udio VHCN priključaka u</w:t>
      </w:r>
      <w:r w:rsidRPr="00D7480A">
        <w:rPr>
          <w:rFonts w:eastAsia="Times New Roman" w:cstheme="minorHAnsi"/>
        </w:rPr>
        <w:t xml:space="preserve"> ukupnom broju priključaka širokopojasnog p</w:t>
      </w:r>
      <w:r>
        <w:rPr>
          <w:rFonts w:eastAsia="Times New Roman" w:cstheme="minorHAnsi"/>
        </w:rPr>
        <w:t xml:space="preserve">ristupa internetu na kraju 2024. iznosi 44,95%. </w:t>
      </w:r>
    </w:p>
    <w:p w14:paraId="12E9CFB8" w14:textId="77777777" w:rsidR="005658F6" w:rsidRDefault="005658F6" w:rsidP="005658F6">
      <w:pPr>
        <w:overflowPunct w:val="0"/>
        <w:autoSpaceDE w:val="0"/>
        <w:autoSpaceDN w:val="0"/>
        <w:adjustRightInd w:val="0"/>
        <w:spacing w:after="120" w:line="240" w:lineRule="auto"/>
        <w:jc w:val="both"/>
        <w:textAlignment w:val="baseline"/>
        <w:rPr>
          <w:rFonts w:eastAsia="Times New Roman" w:cstheme="minorHAnsi"/>
        </w:rPr>
      </w:pPr>
      <w:r>
        <w:rPr>
          <w:rFonts w:eastAsia="Times New Roman" w:cstheme="minorHAnsi"/>
        </w:rPr>
        <w:t xml:space="preserve">Uz porast od </w:t>
      </w:r>
      <w:r w:rsidRPr="001B6FF5">
        <w:rPr>
          <w:rFonts w:eastAsia="Times New Roman" w:cstheme="minorHAnsi"/>
        </w:rPr>
        <w:t>90.903 priključka na godišnjoj razini</w:t>
      </w:r>
      <w:r>
        <w:rPr>
          <w:rFonts w:eastAsia="Times New Roman" w:cstheme="minorHAnsi"/>
        </w:rPr>
        <w:t>, u</w:t>
      </w:r>
      <w:r w:rsidRPr="001B6FF5">
        <w:rPr>
          <w:rFonts w:eastAsia="Times New Roman" w:cstheme="minorHAnsi"/>
        </w:rPr>
        <w:t xml:space="preserve">kupan broj priključaka koji se ostvaruju putem svjetlovodnih mreža </w:t>
      </w:r>
      <w:r>
        <w:rPr>
          <w:rFonts w:eastAsia="Times New Roman" w:cstheme="minorHAnsi"/>
        </w:rPr>
        <w:t xml:space="preserve">na kraju 2024. </w:t>
      </w:r>
      <w:r w:rsidRPr="001B6FF5">
        <w:rPr>
          <w:rFonts w:eastAsia="Times New Roman" w:cstheme="minorHAnsi"/>
        </w:rPr>
        <w:t>dosegnuo je 351.621 priključka.</w:t>
      </w:r>
      <w:r>
        <w:rPr>
          <w:rFonts w:eastAsia="Times New Roman" w:cstheme="minorHAnsi"/>
        </w:rPr>
        <w:t xml:space="preserve"> Tako udio priključaka koji se ostvaruju putem svjetlovodnih mreža u </w:t>
      </w:r>
      <w:r w:rsidRPr="000D5F87">
        <w:rPr>
          <w:rFonts w:eastAsia="Times New Roman" w:cstheme="minorHAnsi"/>
        </w:rPr>
        <w:t>ukupnom broju priključaka širokopojasnog pristupa</w:t>
      </w:r>
      <w:r>
        <w:rPr>
          <w:rFonts w:eastAsia="Times New Roman" w:cstheme="minorHAnsi"/>
        </w:rPr>
        <w:t xml:space="preserve"> internetu na kraju 2024. iznosi 30,65% u usporedbi s 23,40% na kraju 2023.</w:t>
      </w:r>
    </w:p>
    <w:p w14:paraId="2ED28010" w14:textId="02AC9397" w:rsidR="005658F6" w:rsidRPr="00E721EB" w:rsidRDefault="005658F6" w:rsidP="005658F6">
      <w:pPr>
        <w:overflowPunct w:val="0"/>
        <w:autoSpaceDE w:val="0"/>
        <w:autoSpaceDN w:val="0"/>
        <w:adjustRightInd w:val="0"/>
        <w:spacing w:after="120" w:line="240" w:lineRule="auto"/>
        <w:jc w:val="both"/>
        <w:textAlignment w:val="baseline"/>
        <w:rPr>
          <w:rFonts w:eastAsia="Times New Roman" w:cstheme="minorHAnsi"/>
        </w:rPr>
      </w:pPr>
      <w:r>
        <w:rPr>
          <w:rFonts w:eastAsia="Times New Roman" w:cstheme="minorHAnsi"/>
        </w:rPr>
        <w:t>K</w:t>
      </w:r>
      <w:r w:rsidRPr="00E721EB">
        <w:rPr>
          <w:rFonts w:eastAsia="Times New Roman" w:cstheme="minorHAnsi"/>
        </w:rPr>
        <w:t xml:space="preserve">ao posljedica porasta pokrivenosti </w:t>
      </w:r>
      <w:r>
        <w:rPr>
          <w:rFonts w:eastAsia="Times New Roman" w:cstheme="minorHAnsi"/>
        </w:rPr>
        <w:t xml:space="preserve">VHCN </w:t>
      </w:r>
      <w:r w:rsidRPr="00E721EB">
        <w:rPr>
          <w:rFonts w:eastAsia="Times New Roman" w:cstheme="minorHAnsi"/>
        </w:rPr>
        <w:t xml:space="preserve">mrežama </w:t>
      </w:r>
      <w:r>
        <w:rPr>
          <w:rFonts w:eastAsia="Times New Roman" w:cstheme="minorHAnsi"/>
        </w:rPr>
        <w:t xml:space="preserve">u 2024. je </w:t>
      </w:r>
      <w:r w:rsidRPr="00E721EB">
        <w:rPr>
          <w:rFonts w:eastAsia="Times New Roman" w:cstheme="minorHAnsi"/>
        </w:rPr>
        <w:t>nastavljen rast udjela broja priključaka širokopojasnog pristupa internetu putem mreže nepokretnih komunikacija s brzinama iznad 100 Mbit/s. Tako na kraju 202</w:t>
      </w:r>
      <w:r>
        <w:rPr>
          <w:rFonts w:eastAsia="Times New Roman" w:cstheme="minorHAnsi"/>
        </w:rPr>
        <w:t>4</w:t>
      </w:r>
      <w:r w:rsidRPr="00E721EB">
        <w:rPr>
          <w:rFonts w:eastAsia="Times New Roman" w:cstheme="minorHAnsi"/>
        </w:rPr>
        <w:t>. udio priključaka širokopojasnog pristupa internetu putem mreže nepokretnih komunikacija s brzinama iznad 100 Mbit/s iznosi</w:t>
      </w:r>
      <w:r>
        <w:rPr>
          <w:rFonts w:eastAsia="Times New Roman" w:cstheme="minorHAnsi"/>
        </w:rPr>
        <w:t xml:space="preserve"> </w:t>
      </w:r>
      <w:r w:rsidRPr="00C94733">
        <w:rPr>
          <w:rFonts w:eastAsia="Times New Roman" w:cstheme="minorHAnsi"/>
        </w:rPr>
        <w:t>4</w:t>
      </w:r>
      <w:r>
        <w:rPr>
          <w:rFonts w:eastAsia="Times New Roman" w:cstheme="minorHAnsi"/>
        </w:rPr>
        <w:t>7</w:t>
      </w:r>
      <w:r w:rsidRPr="00C94733">
        <w:rPr>
          <w:rFonts w:eastAsia="Times New Roman" w:cstheme="minorHAnsi"/>
        </w:rPr>
        <w:t>,</w:t>
      </w:r>
      <w:r>
        <w:rPr>
          <w:rFonts w:eastAsia="Times New Roman" w:cstheme="minorHAnsi"/>
        </w:rPr>
        <w:t>16</w:t>
      </w:r>
      <w:r w:rsidRPr="00C94733">
        <w:rPr>
          <w:rFonts w:eastAsia="Times New Roman" w:cstheme="minorHAnsi"/>
        </w:rPr>
        <w:t xml:space="preserve">%, što predstavlja značajno povećanje u odnosu na isto razdoblje prethodne godine kada je udio priključaka širokopojasnog pristupa s brzinama iznad 100 Mbit/s iznosio oko 41%. </w:t>
      </w:r>
    </w:p>
    <w:p w14:paraId="5C87C4D2"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5F96926A"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 xml:space="preserve">Cilj 2. Visoka kvaliteta i razvijeno tržište poštanskih usluga </w:t>
      </w:r>
    </w:p>
    <w:p w14:paraId="2E7BDC74"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Opis provedbe cilja programa</w:t>
      </w:r>
    </w:p>
    <w:p w14:paraId="60C50FDA" w14:textId="36C4167C" w:rsidR="005658F6" w:rsidRPr="00372E2F" w:rsidRDefault="005658F6" w:rsidP="005658F6">
      <w:pPr>
        <w:jc w:val="both"/>
      </w:pPr>
      <w:r w:rsidRPr="00BE0689">
        <w:t>Fokus regulatornih aktivnosti HAKOM-a je, kao i ranijih godina, i u 2024. bio na osiguranju održivosti i učinkovitom pružanj</w:t>
      </w:r>
      <w:r w:rsidRPr="00372E2F">
        <w:t xml:space="preserve">u univerzalne usluge na cijelom području Republike Hrvatske uz propisanu kakvoću i pristupačnu cijenu. Stoga je najveći dio aktivnosti bio usmjeren na davatelja univerzalne usluge, HP-Hrvatsku poštu d.d. (dalje: HP) gdje se prvenstveno provodila kontrola poštivanja obveza vezana uz dostavu poštanskih pošiljaka te nadzor i regulaciju cijena univerzalne usluge. HAKOM je, temeljem </w:t>
      </w:r>
      <w:r w:rsidRPr="0036632F">
        <w:rPr>
          <w:rFonts w:eastAsia="Times New Roman" w:cstheme="minorHAnsi"/>
        </w:rPr>
        <w:t>Odluk</w:t>
      </w:r>
      <w:r w:rsidRPr="0036632F">
        <w:rPr>
          <w:rFonts w:cstheme="minorHAnsi"/>
        </w:rPr>
        <w:t>e</w:t>
      </w:r>
      <w:r w:rsidRPr="0036632F">
        <w:rPr>
          <w:rFonts w:eastAsia="Times New Roman" w:cstheme="minorHAnsi"/>
        </w:rPr>
        <w:t xml:space="preserve"> o utvrđivanju najvišeg dopuštenog prosječnog ponderiranog povećanja cijena HP-a (dalje: Odluka) za košaricu usluga za razdoblje od 12. siječnja 2023. do 31. prosinca 2025.</w:t>
      </w:r>
      <w:r w:rsidRPr="0036632F">
        <w:rPr>
          <w:rFonts w:cstheme="minorHAnsi"/>
        </w:rPr>
        <w:t xml:space="preserve">, tijekom 2024. </w:t>
      </w:r>
      <w:r w:rsidRPr="0036632F">
        <w:t xml:space="preserve">provodio kontrolu cijena univerzalne usluge iz košarice, kao i provjeru parametara koji utječu na izračun košarice. Odlukom je utvrđeno da je dopušteni rast prosječne ponderirane cijene košarice usluga 26,5% za cijelo trogodišnje razdoblje, uzimajući u obzir i inflaciju. Dodatno HAKOM je, </w:t>
      </w:r>
      <w:r w:rsidRPr="0036632F">
        <w:rPr>
          <w:rFonts w:cstheme="minorHAnsi"/>
        </w:rPr>
        <w:t xml:space="preserve">na zahtjev HP-a, proveo i izvanrednu reviziju odstupanja ključnih parametara modela cjenovnog ograničenja što je rezultiralo donošenjem </w:t>
      </w:r>
      <w:r w:rsidRPr="005658F6">
        <w:rPr>
          <w:rFonts w:cstheme="minorHAnsi"/>
        </w:rPr>
        <w:t xml:space="preserve">nove </w:t>
      </w:r>
      <w:hyperlink r:id="rId20" w:history="1">
        <w:r w:rsidRPr="005658F6">
          <w:rPr>
            <w:rStyle w:val="Hyperlink"/>
            <w:rFonts w:cstheme="minorHAnsi"/>
            <w:color w:val="auto"/>
          </w:rPr>
          <w:t>Odluke o povećanju ponderirane cijene košarice usluga univerzalne usluge</w:t>
        </w:r>
      </w:hyperlink>
      <w:r w:rsidRPr="005658F6">
        <w:rPr>
          <w:rFonts w:cstheme="minorHAnsi"/>
        </w:rPr>
        <w:t xml:space="preserve"> za dodatnih 22,02%, s primjenom do 31. prosinca 2025. godine. HAKOM je provodio i kontrolu primjene cijena univerzalne usluge u ugovorima koje HP sklapa s velikim korisnicima</w:t>
      </w:r>
      <w:r w:rsidRPr="00372E2F">
        <w:rPr>
          <w:rFonts w:cstheme="minorHAnsi"/>
        </w:rPr>
        <w:t xml:space="preserve">, s </w:t>
      </w:r>
      <w:r w:rsidRPr="00372E2F">
        <w:rPr>
          <w:rFonts w:cstheme="minorHAnsi"/>
        </w:rPr>
        <w:lastRenderedPageBreak/>
        <w:t>ciljem sprječavanja eventualne zlouporabe vladajućeg položaja HP-a, a koje bi mogle rezultirati narušavanjem tržišnog natjecanja i potiskivanjem konkurencije u području zamjenskih poštanskih usluga.</w:t>
      </w:r>
      <w:r w:rsidRPr="00372E2F">
        <w:t xml:space="preserve"> U dijelu kontrole zakonitosti rada HP-a aktivnosti HAKOM-a bile su usmjerene i na računovodstveno razdvajanje, neto trošak obavljanja univerzalne usluge te pristup mreži. </w:t>
      </w:r>
    </w:p>
    <w:p w14:paraId="02FE0381" w14:textId="77777777" w:rsidR="005658F6" w:rsidRPr="00BE0689" w:rsidRDefault="005658F6" w:rsidP="005658F6">
      <w:pPr>
        <w:overflowPunct w:val="0"/>
        <w:autoSpaceDE w:val="0"/>
        <w:autoSpaceDN w:val="0"/>
        <w:adjustRightInd w:val="0"/>
        <w:spacing w:after="120" w:line="240" w:lineRule="auto"/>
        <w:jc w:val="both"/>
        <w:textAlignment w:val="baseline"/>
        <w:rPr>
          <w:rFonts w:eastAsia="Times New Roman" w:cstheme="minorHAnsi"/>
        </w:rPr>
      </w:pPr>
      <w:r w:rsidRPr="00372E2F">
        <w:rPr>
          <w:rFonts w:cstheme="minorHAnsi"/>
        </w:rPr>
        <w:t>Tijekom 2024. provedeno je više inspekcijskih nadzora koji su se najvećim dijelom odnosili na HP kao davatelju univerzalne usluge pri čemu je nadzor bio usmjeren na kakvoću obavljanja univerzalne usluge odnosno ispunjenje zakonskih obveza vezanih uz dostavu i rokove uručenja poštanskih pošiljaka te prava korisnika poštanskih usluga. Inspektori su, temeljem provedenih nadzora, donijeli  nekoliko rješenja, zapisnicima su naređeni otkloni nedostataka utvrđenih inspekcijskim nadzorima te je podnesen optužni prijedlog radi pokretanja prekršajnog postupka. Dio regulatornih aktivnosti je bio usmjeren i</w:t>
      </w:r>
      <w:r w:rsidRPr="00BE0689">
        <w:rPr>
          <w:rFonts w:eastAsia="Times New Roman" w:cstheme="minorHAnsi"/>
        </w:rPr>
        <w:t xml:space="preserve"> na poticanje djelotvornog tržišnog natjecanja te zaštitu prava korisnika poštanskih usluga.</w:t>
      </w:r>
    </w:p>
    <w:p w14:paraId="7F26AA4A" w14:textId="77777777" w:rsidR="005658F6" w:rsidRDefault="005658F6" w:rsidP="005658F6">
      <w:pPr>
        <w:spacing w:line="240" w:lineRule="auto"/>
        <w:jc w:val="both"/>
        <w:rPr>
          <w:rFonts w:eastAsia="Calibri" w:cstheme="minorHAnsi"/>
        </w:rPr>
      </w:pPr>
      <w:r w:rsidRPr="00BE0689">
        <w:rPr>
          <w:rFonts w:cstheme="minorHAnsi"/>
        </w:rPr>
        <w:t>HAKOM je također provodio nadzor nad kakvoćom obavljanja univerzalne usluge provjerom zadovoljavanja propisanih mjerila kakvoće koja su definirana Zakonom o poštanskim uslugama (</w:t>
      </w:r>
      <w:r w:rsidRPr="00372E2F">
        <w:rPr>
          <w:rFonts w:cstheme="minorHAnsi"/>
        </w:rPr>
        <w:t xml:space="preserve">dalje: ZPU). Davatelj univerzalne usluge je obvezan obaviti mjerenje sukladno propisanim normama te Izvješće o obavljenom mjerenju dostaviti HAKOM-u. Nakon dostavljenog Izvješća o kakvoći obavljanja univerzalne usluge za 2023. HAKOM je </w:t>
      </w:r>
      <w:r w:rsidRPr="00372E2F">
        <w:t xml:space="preserve">proveo reviziju </w:t>
      </w:r>
      <w:r w:rsidRPr="00BE0689">
        <w:rPr>
          <w:rFonts w:eastAsia="Calibri" w:cstheme="minorHAnsi"/>
        </w:rPr>
        <w:t>dobivenih rezultata mjerenja vezanih uz kakvoću prijenosa poštanskih pošiljaka,</w:t>
      </w:r>
      <w:r w:rsidRPr="00BE0689">
        <w:t xml:space="preserve"> koja je pokazala kako je mjerenje provedeno sukladno propisanim normama i da rezultati mjerenja u unutarnjem prometu zadovoljavaju sva prop</w:t>
      </w:r>
      <w:r w:rsidRPr="00372E2F">
        <w:t xml:space="preserve">isana mjerila. Dodatno, HAKOM je kontrolirao i dozvoljena odstupanja od obavljanja </w:t>
      </w:r>
      <w:r w:rsidRPr="00BE0689">
        <w:rPr>
          <w:rFonts w:eastAsia="Calibri" w:cstheme="minorHAnsi"/>
        </w:rPr>
        <w:t>univerzalne usluge propisana Pravilnikom</w:t>
      </w:r>
      <w:r w:rsidRPr="00BE0689">
        <w:rPr>
          <w:rFonts w:eastAsia="Times New Roman" w:cstheme="minorHAnsi"/>
        </w:rPr>
        <w:t xml:space="preserve"> </w:t>
      </w:r>
      <w:r w:rsidRPr="00BE0689">
        <w:rPr>
          <w:rFonts w:eastAsia="Calibri" w:cstheme="minorHAnsi"/>
        </w:rPr>
        <w:t>o obavljanju univerzalne usluge (dalje: Pravilnik) vezana uz izuzeća od petodnevne dostave na određenim područjima i gdje nisu utvrđene nesukladn</w:t>
      </w:r>
      <w:r>
        <w:rPr>
          <w:rFonts w:eastAsia="Calibri" w:cstheme="minorHAnsi"/>
        </w:rPr>
        <w:t xml:space="preserve">osti s odredbama Pravilnika. </w:t>
      </w:r>
    </w:p>
    <w:p w14:paraId="53273A37" w14:textId="1B7F5683" w:rsidR="005658F6" w:rsidRPr="00372E2F" w:rsidRDefault="005658F6" w:rsidP="005658F6">
      <w:pPr>
        <w:spacing w:line="240" w:lineRule="auto"/>
        <w:jc w:val="both"/>
        <w:rPr>
          <w:rFonts w:cstheme="minorHAnsi"/>
          <w:bCs/>
        </w:rPr>
      </w:pPr>
      <w:r w:rsidRPr="00BE0689">
        <w:rPr>
          <w:rFonts w:eastAsia="Calibri" w:cstheme="minorHAnsi"/>
        </w:rPr>
        <w:t>Aktivnosti HAKOM-a bile su usmjerene i na poštansku mrežu HP-a s posebnim naglaskom na kontrolu ispunjavanja njegovih obveza u pogledu gustoće mreže pristupnih točaka.</w:t>
      </w:r>
      <w:r w:rsidRPr="00BE0689">
        <w:rPr>
          <w:rFonts w:cstheme="minorHAnsi"/>
        </w:rPr>
        <w:t xml:space="preserve"> Obveza davatelja univerzalne usluge je da uspostavi, održava i razvija</w:t>
      </w:r>
      <w:r w:rsidRPr="00372E2F">
        <w:rPr>
          <w:rFonts w:cstheme="minorHAnsi"/>
        </w:rPr>
        <w:t xml:space="preserve"> poštansku mrežu radi osiguranja obavljanja univerzalne usluge na cijelom području RH na način propisan ZPU-om i Pravilnikom kojim je dodatno propisana i gustoća mreže pristupnih točaka</w:t>
      </w:r>
      <w:r w:rsidRPr="00BE0689">
        <w:rPr>
          <w:rStyle w:val="FootnoteReference"/>
          <w:rFonts w:cstheme="minorHAnsi"/>
        </w:rPr>
        <w:footnoteReference w:id="1"/>
      </w:r>
      <w:r w:rsidRPr="00BE0689">
        <w:rPr>
          <w:rFonts w:cstheme="minorHAnsi"/>
        </w:rPr>
        <w:t xml:space="preserve">. </w:t>
      </w:r>
      <w:r w:rsidRPr="00BE0689">
        <w:rPr>
          <w:rFonts w:eastAsia="Calibri" w:cstheme="minorHAnsi"/>
        </w:rPr>
        <w:t xml:space="preserve"> Stoga je fokus </w:t>
      </w:r>
      <w:r w:rsidRPr="00BE0689">
        <w:t>bio na praćenju broja i lokacija poštanskih ureda te drugih pristupnih točaka, kao i proceduri zatvaranja, preseljenja i preustroja poštanskih ureda kao i radnim vremenima poštanskih ureda.</w:t>
      </w:r>
      <w:r w:rsidRPr="00BE0689">
        <w:rPr>
          <w:rFonts w:eastAsia="Calibri" w:cstheme="minorHAnsi"/>
        </w:rPr>
        <w:t xml:space="preserve"> </w:t>
      </w:r>
      <w:r w:rsidRPr="00BE0689">
        <w:rPr>
          <w:rFonts w:cstheme="minorHAnsi"/>
          <w:bCs/>
        </w:rPr>
        <w:t xml:space="preserve">U skladu sa strategijom repozicioniranja </w:t>
      </w:r>
      <w:r w:rsidRPr="00372E2F">
        <w:rPr>
          <w:rFonts w:cstheme="minorHAnsi"/>
          <w:bCs/>
        </w:rPr>
        <w:t>poštanskih ureda, HP je nastavio s preseljenjem pojedinih neprofitabilnih poštanskih ureda na frekventnije lokacije čime se osigurala veća dostupnost usluga korisnicima i spriječilo njihovo zatvaranje, a promjene su istovremeno omogućile poboljšanje uvjeta za korisnike i zaposlenike. HP je također, s ciljem daljnje racionalizacije poslovanja kao i potreba korisnika, prilagođavao i radna vremena poštanskih ureda tako da je za u više ureda došlo do promjena radnih vremena. Propisana mjerila ovim promjenama nisu bila narušena te je broj poštanskih ureda na kraju 2024. ostao nepromijenjen i iznosio je 1.016 ureda raspoređenih na cijelom području RH čime je gustoća bila i viša od zakonom propisanog minimuma.</w:t>
      </w:r>
    </w:p>
    <w:p w14:paraId="22F121CE" w14:textId="0B8F14E5" w:rsidR="005658F6" w:rsidRPr="00BE0689" w:rsidRDefault="005658F6" w:rsidP="005658F6">
      <w:pPr>
        <w:overflowPunct w:val="0"/>
        <w:autoSpaceDE w:val="0"/>
        <w:autoSpaceDN w:val="0"/>
        <w:adjustRightInd w:val="0"/>
        <w:spacing w:after="120" w:line="240" w:lineRule="auto"/>
        <w:jc w:val="both"/>
        <w:textAlignment w:val="baseline"/>
        <w:rPr>
          <w:rFonts w:cstheme="minorHAnsi"/>
          <w:bCs/>
        </w:rPr>
      </w:pPr>
      <w:r w:rsidRPr="00372E2F">
        <w:rPr>
          <w:rFonts w:cstheme="minorHAnsi"/>
          <w:bCs/>
        </w:rPr>
        <w:t>Temeljem prikupljenih podataka od davatelja poštanskih usluga nastavljeno je praćenje i</w:t>
      </w:r>
      <w:r w:rsidRPr="00BE0689">
        <w:rPr>
          <w:rFonts w:eastAsia="Times New Roman" w:cstheme="minorHAnsi"/>
        </w:rPr>
        <w:t xml:space="preserve"> analiza stanja i razvoja tržišta poštanskih usluga u RH koje pokazuje nastavak prijašnjih trendova. Manji je broj ukupnih usluga uz pad broja pisama uz istovremeni rast broja paketa i usluga s dodanom vrijednosti kao rezultat povećanja obujma e-trgovine što je donijelo i veće prihode od obavljanja poštanskih usluga. Navedeno pokazuje sposobnost davatelja poštanskih usluga da svoje poslovanje prilagode navedenim kretanjima na tržištu pri čemu se pojavljuju nove i inovativnije usluge kao i novi modeli i načini obavljanja poštanskih usluga posebno u dijelu uručenja (paketomati, PUDO i sl.)</w:t>
      </w:r>
    </w:p>
    <w:p w14:paraId="17AA9CCD"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074E2A76"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5CBF9701"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lastRenderedPageBreak/>
        <w:t>Pokazatelji učinka</w:t>
      </w:r>
    </w:p>
    <w:p w14:paraId="3D10ECA9"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tbl>
      <w:tblPr>
        <w:tblStyle w:val="StilTablice3"/>
        <w:tblW w:w="10206" w:type="dxa"/>
        <w:jc w:val="center"/>
        <w:tblLook w:val="04A0" w:firstRow="1" w:lastRow="0" w:firstColumn="1" w:lastColumn="0" w:noHBand="0" w:noVBand="1"/>
      </w:tblPr>
      <w:tblGrid>
        <w:gridCol w:w="2314"/>
        <w:gridCol w:w="2230"/>
        <w:gridCol w:w="955"/>
        <w:gridCol w:w="1010"/>
        <w:gridCol w:w="1655"/>
        <w:gridCol w:w="1010"/>
        <w:gridCol w:w="1032"/>
      </w:tblGrid>
      <w:tr w:rsidR="005658F6" w:rsidRPr="004A6E08" w14:paraId="3C39A706" w14:textId="77777777" w:rsidTr="007F0958">
        <w:trPr>
          <w:jc w:val="center"/>
        </w:trPr>
        <w:tc>
          <w:tcPr>
            <w:tcW w:w="2339" w:type="dxa"/>
            <w:shd w:val="clear" w:color="auto" w:fill="B5C0D8"/>
          </w:tcPr>
          <w:p w14:paraId="4D53ED6E"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sz w:val="22"/>
                <w:lang w:val="sl-SI"/>
              </w:rPr>
            </w:pPr>
            <w:r w:rsidRPr="004A6E08">
              <w:rPr>
                <w:rFonts w:asciiTheme="minorHAnsi" w:eastAsia="Times New Roman" w:hAnsiTheme="minorHAnsi" w:cstheme="minorHAnsi"/>
                <w:sz w:val="22"/>
                <w:lang w:val="sl-SI"/>
              </w:rPr>
              <w:t>Pokazatelj učinka</w:t>
            </w:r>
          </w:p>
        </w:tc>
        <w:tc>
          <w:tcPr>
            <w:tcW w:w="2253" w:type="dxa"/>
            <w:shd w:val="clear" w:color="auto" w:fill="B5C0D8"/>
          </w:tcPr>
          <w:p w14:paraId="27C86D3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Definicija</w:t>
            </w:r>
          </w:p>
        </w:tc>
        <w:tc>
          <w:tcPr>
            <w:tcW w:w="959" w:type="dxa"/>
            <w:shd w:val="clear" w:color="auto" w:fill="B5C0D8"/>
          </w:tcPr>
          <w:p w14:paraId="4F1322D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Jedinica</w:t>
            </w:r>
          </w:p>
        </w:tc>
        <w:tc>
          <w:tcPr>
            <w:tcW w:w="994" w:type="dxa"/>
            <w:shd w:val="clear" w:color="auto" w:fill="B5C0D8"/>
          </w:tcPr>
          <w:p w14:paraId="2C2D352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Polazna vrijednost</w:t>
            </w:r>
          </w:p>
        </w:tc>
        <w:tc>
          <w:tcPr>
            <w:tcW w:w="1670" w:type="dxa"/>
            <w:shd w:val="clear" w:color="auto" w:fill="B5C0D8"/>
          </w:tcPr>
          <w:p w14:paraId="5D5BF958"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Izvor podataka</w:t>
            </w:r>
          </w:p>
        </w:tc>
        <w:tc>
          <w:tcPr>
            <w:tcW w:w="994" w:type="dxa"/>
            <w:shd w:val="clear" w:color="auto" w:fill="B5C0D8"/>
          </w:tcPr>
          <w:p w14:paraId="2C799450"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Ciljana vrijednost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c>
          <w:tcPr>
            <w:tcW w:w="997" w:type="dxa"/>
            <w:shd w:val="clear" w:color="auto" w:fill="B5C0D8"/>
          </w:tcPr>
          <w:p w14:paraId="4F3B97C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Ostvarena vrijednost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r>
      <w:tr w:rsidR="005658F6" w:rsidRPr="004A6E08" w14:paraId="282D146A" w14:textId="77777777" w:rsidTr="007F0958">
        <w:trPr>
          <w:jc w:val="center"/>
        </w:trPr>
        <w:tc>
          <w:tcPr>
            <w:tcW w:w="2339" w:type="dxa"/>
          </w:tcPr>
          <w:p w14:paraId="0AC957D7" w14:textId="77777777" w:rsidR="005658F6" w:rsidRDefault="005658F6" w:rsidP="007F0958">
            <w:pPr>
              <w:overflowPunct w:val="0"/>
              <w:autoSpaceDE w:val="0"/>
              <w:autoSpaceDN w:val="0"/>
              <w:adjustRightInd w:val="0"/>
              <w:textAlignment w:val="baseline"/>
            </w:pPr>
            <w:r>
              <w:t xml:space="preserve"> </w:t>
            </w:r>
            <w:r w:rsidRPr="003E4D95">
              <w:rPr>
                <w:rFonts w:asciiTheme="minorHAnsi" w:eastAsia="Times New Roman" w:hAnsiTheme="minorHAnsi" w:cstheme="minorHAnsi"/>
                <w:bCs/>
                <w:color w:val="000000"/>
                <w:sz w:val="22"/>
                <w:lang w:val="sl-SI" w:eastAsia="hr-HR"/>
              </w:rPr>
              <w:t>Zastupljenost VHCN priključaka u ukupnom broju priključaka širokopojasnog pristupa internetu</w:t>
            </w:r>
          </w:p>
          <w:p w14:paraId="693B9198"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p>
        </w:tc>
        <w:tc>
          <w:tcPr>
            <w:tcW w:w="2253" w:type="dxa"/>
          </w:tcPr>
          <w:p w14:paraId="2D4D60CB" w14:textId="77777777" w:rsidR="005658F6" w:rsidRDefault="005658F6" w:rsidP="007F0958">
            <w:pPr>
              <w:overflowPunct w:val="0"/>
              <w:autoSpaceDE w:val="0"/>
              <w:autoSpaceDN w:val="0"/>
              <w:adjustRightInd w:val="0"/>
              <w:textAlignment w:val="baseline"/>
            </w:pPr>
            <w:r>
              <w:t xml:space="preserve"> </w:t>
            </w:r>
          </w:p>
          <w:p w14:paraId="0C8706CB"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3E4D95">
              <w:rPr>
                <w:rFonts w:asciiTheme="minorHAnsi" w:eastAsia="Times New Roman" w:hAnsiTheme="minorHAnsi" w:cstheme="minorHAnsi"/>
                <w:bCs/>
                <w:color w:val="000000"/>
                <w:sz w:val="22"/>
                <w:lang w:val="sl-SI" w:eastAsia="hr-HR"/>
              </w:rPr>
              <w:t>Analiza stanja na tržištu širokopojasnih priključaka velikih brzina. (udio VHCN priključaka u ukupnom broju priključaka širokopojasnog pristupa internetu)</w:t>
            </w:r>
          </w:p>
        </w:tc>
        <w:tc>
          <w:tcPr>
            <w:tcW w:w="959" w:type="dxa"/>
          </w:tcPr>
          <w:p w14:paraId="331C525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4A6E08">
              <w:rPr>
                <w:rFonts w:asciiTheme="minorHAnsi" w:eastAsia="Times New Roman" w:hAnsiTheme="minorHAnsi" w:cstheme="minorHAnsi"/>
                <w:bCs/>
                <w:color w:val="000000"/>
                <w:sz w:val="22"/>
                <w:lang w:val="sl-SI" w:eastAsia="hr-HR"/>
              </w:rPr>
              <w:t>%</w:t>
            </w:r>
          </w:p>
        </w:tc>
        <w:tc>
          <w:tcPr>
            <w:tcW w:w="994" w:type="dxa"/>
          </w:tcPr>
          <w:p w14:paraId="608ECC95"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Pr>
                <w:rFonts w:asciiTheme="minorHAnsi" w:eastAsia="Times New Roman" w:hAnsiTheme="minorHAnsi" w:cstheme="minorHAnsi"/>
                <w:bCs/>
                <w:color w:val="000000"/>
                <w:sz w:val="22"/>
                <w:lang w:val="sl-SI" w:eastAsia="hr-HR"/>
              </w:rPr>
              <w:t>28,56</w:t>
            </w:r>
          </w:p>
        </w:tc>
        <w:tc>
          <w:tcPr>
            <w:tcW w:w="1670" w:type="dxa"/>
          </w:tcPr>
          <w:p w14:paraId="614B643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4A6E08">
              <w:rPr>
                <w:rFonts w:asciiTheme="minorHAnsi" w:eastAsia="Times New Roman" w:hAnsiTheme="minorHAnsi" w:cstheme="minorHAnsi"/>
                <w:bCs/>
                <w:color w:val="000000"/>
                <w:sz w:val="22"/>
                <w:lang w:val="sl-SI" w:eastAsia="hr-HR"/>
              </w:rPr>
              <w:t>Hrvatska regulatorna agencija za mrežne djelatnosti</w:t>
            </w:r>
          </w:p>
        </w:tc>
        <w:tc>
          <w:tcPr>
            <w:tcW w:w="994" w:type="dxa"/>
          </w:tcPr>
          <w:p w14:paraId="244F9381" w14:textId="61A0B218" w:rsidR="005658F6" w:rsidRPr="004A6E08" w:rsidRDefault="00913FCE"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Pr>
                <w:rFonts w:asciiTheme="minorHAnsi" w:eastAsia="Times New Roman" w:hAnsiTheme="minorHAnsi" w:cstheme="minorHAnsi"/>
                <w:bCs/>
                <w:color w:val="000000"/>
                <w:sz w:val="22"/>
                <w:lang w:val="sl-SI" w:eastAsia="hr-HR"/>
              </w:rPr>
              <w:t>36</w:t>
            </w:r>
          </w:p>
        </w:tc>
        <w:tc>
          <w:tcPr>
            <w:tcW w:w="997" w:type="dxa"/>
          </w:tcPr>
          <w:p w14:paraId="1BDA7E54"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color w:val="000000"/>
                <w:sz w:val="22"/>
                <w:lang w:val="sl-SI"/>
              </w:rPr>
            </w:pPr>
            <w:r>
              <w:rPr>
                <w:rFonts w:asciiTheme="minorHAnsi" w:eastAsia="Times New Roman" w:hAnsiTheme="minorHAnsi" w:cstheme="minorHAnsi"/>
                <w:color w:val="000000"/>
                <w:sz w:val="22"/>
                <w:lang w:val="sl-SI"/>
              </w:rPr>
              <w:t>44</w:t>
            </w:r>
            <w:r w:rsidRPr="004A6E08">
              <w:rPr>
                <w:rFonts w:asciiTheme="minorHAnsi" w:eastAsia="Times New Roman" w:hAnsiTheme="minorHAnsi" w:cstheme="minorHAnsi"/>
                <w:color w:val="000000"/>
                <w:sz w:val="22"/>
                <w:lang w:val="sl-SI"/>
              </w:rPr>
              <w:t>,</w:t>
            </w:r>
            <w:r>
              <w:rPr>
                <w:rFonts w:asciiTheme="minorHAnsi" w:eastAsia="Times New Roman" w:hAnsiTheme="minorHAnsi" w:cstheme="minorHAnsi"/>
                <w:color w:val="000000"/>
                <w:sz w:val="22"/>
                <w:lang w:val="sl-SI"/>
              </w:rPr>
              <w:t>95</w:t>
            </w:r>
          </w:p>
        </w:tc>
      </w:tr>
      <w:tr w:rsidR="005658F6" w:rsidRPr="004A6E08" w14:paraId="2D37F09C" w14:textId="77777777" w:rsidTr="007F0958">
        <w:trPr>
          <w:jc w:val="center"/>
        </w:trPr>
        <w:tc>
          <w:tcPr>
            <w:tcW w:w="2339" w:type="dxa"/>
          </w:tcPr>
          <w:p w14:paraId="6474ED50"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Analiza stanja na tržištu poštanskih usluga te određivanje davatelja univerzalne usluge</w:t>
            </w:r>
          </w:p>
        </w:tc>
        <w:tc>
          <w:tcPr>
            <w:tcW w:w="2253" w:type="dxa"/>
          </w:tcPr>
          <w:p w14:paraId="74C108D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Održavanje propisane kakvoće univerzalne usluge uz razvoj i uvođenje novih usluga kao dijela ostalih poštanskih usluga</w:t>
            </w:r>
          </w:p>
        </w:tc>
        <w:tc>
          <w:tcPr>
            <w:tcW w:w="959" w:type="dxa"/>
          </w:tcPr>
          <w:p w14:paraId="2C7D7787"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w:t>
            </w:r>
          </w:p>
        </w:tc>
        <w:tc>
          <w:tcPr>
            <w:tcW w:w="994" w:type="dxa"/>
          </w:tcPr>
          <w:p w14:paraId="645F31E9"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100</w:t>
            </w:r>
          </w:p>
        </w:tc>
        <w:tc>
          <w:tcPr>
            <w:tcW w:w="1670" w:type="dxa"/>
          </w:tcPr>
          <w:p w14:paraId="330A968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Hrvatska regulatorna agencija za mrežne djelatnosti</w:t>
            </w:r>
          </w:p>
        </w:tc>
        <w:tc>
          <w:tcPr>
            <w:tcW w:w="994" w:type="dxa"/>
          </w:tcPr>
          <w:p w14:paraId="383CAB0E"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100</w:t>
            </w:r>
          </w:p>
        </w:tc>
        <w:tc>
          <w:tcPr>
            <w:tcW w:w="997" w:type="dxa"/>
          </w:tcPr>
          <w:p w14:paraId="0A7B09E9"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sz w:val="22"/>
                <w:lang w:val="sl-SI"/>
              </w:rPr>
            </w:pPr>
            <w:r w:rsidRPr="004A6E08">
              <w:rPr>
                <w:rFonts w:asciiTheme="minorHAnsi" w:eastAsia="Times New Roman" w:hAnsiTheme="minorHAnsi" w:cstheme="minorHAnsi"/>
                <w:sz w:val="22"/>
                <w:lang w:val="sl-SI"/>
              </w:rPr>
              <w:t>100</w:t>
            </w:r>
          </w:p>
        </w:tc>
      </w:tr>
    </w:tbl>
    <w:p w14:paraId="561656A7" w14:textId="77777777" w:rsidR="005658F6" w:rsidRPr="004A6E08" w:rsidRDefault="005658F6" w:rsidP="005658F6">
      <w:pPr>
        <w:overflowPunct w:val="0"/>
        <w:autoSpaceDE w:val="0"/>
        <w:autoSpaceDN w:val="0"/>
        <w:adjustRightInd w:val="0"/>
        <w:spacing w:after="120" w:line="240" w:lineRule="auto"/>
        <w:textAlignment w:val="baseline"/>
        <w:rPr>
          <w:rFonts w:eastAsia="Times New Roman" w:cstheme="minorHAnsi"/>
          <w:lang w:val="sl-SI"/>
        </w:rPr>
      </w:pPr>
    </w:p>
    <w:p w14:paraId="32073789" w14:textId="77777777" w:rsidR="005658F6" w:rsidRPr="004A6E08" w:rsidRDefault="005658F6" w:rsidP="005658F6">
      <w:pPr>
        <w:overflowPunct w:val="0"/>
        <w:autoSpaceDE w:val="0"/>
        <w:autoSpaceDN w:val="0"/>
        <w:adjustRightInd w:val="0"/>
        <w:spacing w:after="120" w:line="240" w:lineRule="auto"/>
        <w:textAlignment w:val="baseline"/>
        <w:rPr>
          <w:rFonts w:eastAsia="Times New Roman" w:cstheme="minorHAnsi"/>
          <w:lang w:val="sl-SI"/>
        </w:rPr>
      </w:pPr>
    </w:p>
    <w:p w14:paraId="59EA47B4" w14:textId="77777777" w:rsidR="005658F6" w:rsidRPr="004A6E08" w:rsidRDefault="005658F6" w:rsidP="005658F6">
      <w:pPr>
        <w:keepNext/>
        <w:keepLines/>
        <w:pBdr>
          <w:top w:val="single" w:sz="4" w:space="1" w:color="auto"/>
          <w:bottom w:val="single" w:sz="4" w:space="1" w:color="auto"/>
        </w:pBdr>
        <w:spacing w:after="120" w:line="240" w:lineRule="auto"/>
        <w:outlineLvl w:val="3"/>
        <w:rPr>
          <w:rFonts w:eastAsia="Times New Roman" w:cstheme="minorHAnsi"/>
          <w:b/>
          <w:bCs/>
          <w:lang w:val="sl-SI"/>
        </w:rPr>
      </w:pPr>
      <w:r w:rsidRPr="004A6E08">
        <w:rPr>
          <w:rFonts w:eastAsia="Times New Roman" w:cstheme="minorHAnsi"/>
          <w:b/>
          <w:bCs/>
          <w:lang w:val="sl-SI"/>
        </w:rPr>
        <w:t>A917001 ADMINISTRACIJA I UPRAVLJANJE (IZ EVIDENCIJSKIH PRIHODA)</w:t>
      </w:r>
    </w:p>
    <w:tbl>
      <w:tblPr>
        <w:tblStyle w:val="StilTablice3"/>
        <w:tblW w:w="10206" w:type="dxa"/>
        <w:jc w:val="center"/>
        <w:tblLook w:val="04A0" w:firstRow="1" w:lastRow="0" w:firstColumn="1" w:lastColumn="0" w:noHBand="0" w:noVBand="1"/>
      </w:tblPr>
      <w:tblGrid>
        <w:gridCol w:w="1792"/>
        <w:gridCol w:w="1938"/>
        <w:gridCol w:w="1949"/>
        <w:gridCol w:w="1949"/>
        <w:gridCol w:w="1208"/>
        <w:gridCol w:w="1370"/>
      </w:tblGrid>
      <w:tr w:rsidR="005658F6" w:rsidRPr="004A6E08" w14:paraId="0BF4C4DD" w14:textId="77777777" w:rsidTr="007F0958">
        <w:trPr>
          <w:jc w:val="center"/>
        </w:trPr>
        <w:tc>
          <w:tcPr>
            <w:tcW w:w="1792" w:type="dxa"/>
            <w:shd w:val="clear" w:color="auto" w:fill="B5C0D8"/>
          </w:tcPr>
          <w:p w14:paraId="0BCDA26E"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Naziv aktivnosti</w:t>
            </w:r>
          </w:p>
        </w:tc>
        <w:tc>
          <w:tcPr>
            <w:tcW w:w="1938" w:type="dxa"/>
            <w:shd w:val="clear" w:color="auto" w:fill="B5C0D8"/>
          </w:tcPr>
          <w:p w14:paraId="6ADD07D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Izvršenje 202</w:t>
            </w:r>
            <w:r>
              <w:rPr>
                <w:rFonts w:asciiTheme="minorHAnsi" w:eastAsia="Times New Roman" w:hAnsiTheme="minorHAnsi" w:cstheme="minorHAnsi"/>
                <w:bCs/>
                <w:sz w:val="22"/>
                <w:lang w:val="sl-SI" w:eastAsia="hr-HR"/>
              </w:rPr>
              <w:t>3</w:t>
            </w:r>
            <w:r w:rsidRPr="004A6E08">
              <w:rPr>
                <w:rFonts w:asciiTheme="minorHAnsi" w:eastAsia="Times New Roman" w:hAnsiTheme="minorHAnsi" w:cstheme="minorHAnsi"/>
                <w:bCs/>
                <w:sz w:val="22"/>
                <w:lang w:val="sl-SI" w:eastAsia="hr-HR"/>
              </w:rPr>
              <w:t>. (eur)</w:t>
            </w:r>
          </w:p>
        </w:tc>
        <w:tc>
          <w:tcPr>
            <w:tcW w:w="1949" w:type="dxa"/>
            <w:shd w:val="clear" w:color="auto" w:fill="B5C0D8"/>
          </w:tcPr>
          <w:p w14:paraId="3C838213"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Plan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 (eur)</w:t>
            </w:r>
          </w:p>
        </w:tc>
        <w:tc>
          <w:tcPr>
            <w:tcW w:w="1949" w:type="dxa"/>
            <w:shd w:val="clear" w:color="auto" w:fill="B5C0D8"/>
          </w:tcPr>
          <w:p w14:paraId="1C21F62F"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 (eur)</w:t>
            </w:r>
          </w:p>
        </w:tc>
        <w:tc>
          <w:tcPr>
            <w:tcW w:w="1208" w:type="dxa"/>
            <w:shd w:val="clear" w:color="auto" w:fill="B5C0D8"/>
          </w:tcPr>
          <w:p w14:paraId="5DEE3666"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./plan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c>
          <w:tcPr>
            <w:tcW w:w="1370" w:type="dxa"/>
            <w:shd w:val="clear" w:color="auto" w:fill="B5C0D8"/>
          </w:tcPr>
          <w:p w14:paraId="16A9D248"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Indeks izvršenje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./202</w:t>
            </w:r>
            <w:r>
              <w:rPr>
                <w:rFonts w:asciiTheme="minorHAnsi" w:eastAsia="Times New Roman" w:hAnsiTheme="minorHAnsi" w:cstheme="minorHAnsi"/>
                <w:bCs/>
                <w:sz w:val="22"/>
                <w:lang w:val="sl-SI" w:eastAsia="hr-HR"/>
              </w:rPr>
              <w:t>3</w:t>
            </w:r>
            <w:r w:rsidRPr="004A6E08">
              <w:rPr>
                <w:rFonts w:asciiTheme="minorHAnsi" w:eastAsia="Times New Roman" w:hAnsiTheme="minorHAnsi" w:cstheme="minorHAnsi"/>
                <w:bCs/>
                <w:sz w:val="22"/>
                <w:lang w:val="sl-SI" w:eastAsia="hr-HR"/>
              </w:rPr>
              <w:t>.</w:t>
            </w:r>
          </w:p>
        </w:tc>
      </w:tr>
      <w:tr w:rsidR="005658F6" w:rsidRPr="004A6E08" w14:paraId="24E86153" w14:textId="77777777" w:rsidTr="007F0958">
        <w:trPr>
          <w:jc w:val="center"/>
        </w:trPr>
        <w:tc>
          <w:tcPr>
            <w:tcW w:w="1792" w:type="dxa"/>
          </w:tcPr>
          <w:p w14:paraId="4831084F"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A917001-ADMINISTRACIJA I UPRAVLJANJE (IZ EVIDENCIJSKIH PRIHODA)</w:t>
            </w:r>
          </w:p>
        </w:tc>
        <w:tc>
          <w:tcPr>
            <w:tcW w:w="1938" w:type="dxa"/>
          </w:tcPr>
          <w:p w14:paraId="1C18971E"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13.762.107</w:t>
            </w:r>
          </w:p>
        </w:tc>
        <w:tc>
          <w:tcPr>
            <w:tcW w:w="1949" w:type="dxa"/>
          </w:tcPr>
          <w:p w14:paraId="766A1A42"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17.071.959</w:t>
            </w:r>
          </w:p>
        </w:tc>
        <w:tc>
          <w:tcPr>
            <w:tcW w:w="1949" w:type="dxa"/>
          </w:tcPr>
          <w:p w14:paraId="5F7E574D"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13.791.729</w:t>
            </w:r>
          </w:p>
        </w:tc>
        <w:tc>
          <w:tcPr>
            <w:tcW w:w="1208" w:type="dxa"/>
          </w:tcPr>
          <w:p w14:paraId="0CE81299"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80,8</w:t>
            </w:r>
          </w:p>
        </w:tc>
        <w:tc>
          <w:tcPr>
            <w:tcW w:w="1370" w:type="dxa"/>
          </w:tcPr>
          <w:p w14:paraId="3E1E2118" w14:textId="77777777" w:rsidR="005658F6" w:rsidRPr="004A6E08" w:rsidRDefault="005658F6" w:rsidP="007F0958">
            <w:pPr>
              <w:overflowPunct w:val="0"/>
              <w:autoSpaceDE w:val="0"/>
              <w:autoSpaceDN w:val="0"/>
              <w:adjustRightInd w:val="0"/>
              <w:jc w:val="right"/>
              <w:textAlignment w:val="baseline"/>
              <w:rPr>
                <w:rFonts w:asciiTheme="minorHAnsi" w:eastAsia="Times New Roman" w:hAnsiTheme="minorHAnsi" w:cstheme="minorHAnsi"/>
                <w:bCs/>
                <w:sz w:val="22"/>
                <w:lang w:val="sl-SI" w:eastAsia="hr-HR"/>
              </w:rPr>
            </w:pPr>
            <w:r>
              <w:rPr>
                <w:rFonts w:asciiTheme="minorHAnsi" w:eastAsia="Times New Roman" w:hAnsiTheme="minorHAnsi" w:cstheme="minorHAnsi"/>
                <w:bCs/>
                <w:sz w:val="22"/>
                <w:lang w:val="sl-SI" w:eastAsia="hr-HR"/>
              </w:rPr>
              <w:t>100,2</w:t>
            </w:r>
          </w:p>
        </w:tc>
      </w:tr>
    </w:tbl>
    <w:p w14:paraId="01EA6B32" w14:textId="77777777" w:rsidR="005658F6" w:rsidRPr="004A6E08" w:rsidRDefault="005658F6" w:rsidP="005658F6">
      <w:pPr>
        <w:overflowPunct w:val="0"/>
        <w:autoSpaceDE w:val="0"/>
        <w:autoSpaceDN w:val="0"/>
        <w:adjustRightInd w:val="0"/>
        <w:spacing w:after="120" w:line="240" w:lineRule="auto"/>
        <w:textAlignment w:val="baseline"/>
        <w:rPr>
          <w:rFonts w:eastAsia="Times New Roman" w:cstheme="minorHAnsi"/>
          <w:lang w:val="sl-SI"/>
        </w:rPr>
      </w:pPr>
    </w:p>
    <w:p w14:paraId="191F1FEE" w14:textId="77777777" w:rsidR="005658F6" w:rsidRPr="004A6E08" w:rsidRDefault="005658F6" w:rsidP="005658F6">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Zakonske i druge pravne osnove</w:t>
      </w:r>
    </w:p>
    <w:p w14:paraId="5A189ADE" w14:textId="77777777" w:rsidR="005658F6" w:rsidRPr="004A6E08" w:rsidRDefault="005658F6" w:rsidP="005658F6">
      <w:pPr>
        <w:overflowPunct w:val="0"/>
        <w:autoSpaceDE w:val="0"/>
        <w:autoSpaceDN w:val="0"/>
        <w:adjustRightInd w:val="0"/>
        <w:spacing w:after="120" w:line="240" w:lineRule="auto"/>
        <w:jc w:val="both"/>
        <w:textAlignment w:val="baseline"/>
        <w:rPr>
          <w:rFonts w:eastAsia="Times New Roman" w:cstheme="minorHAnsi"/>
          <w:lang w:val="sl-SI"/>
        </w:rPr>
      </w:pPr>
    </w:p>
    <w:p w14:paraId="7CFA2A56" w14:textId="77777777" w:rsidR="005658F6" w:rsidRPr="004A6E08" w:rsidRDefault="005658F6" w:rsidP="005658F6">
      <w:pPr>
        <w:numPr>
          <w:ilvl w:val="0"/>
          <w:numId w:val="15"/>
        </w:numPr>
        <w:overflowPunct w:val="0"/>
        <w:autoSpaceDE w:val="0"/>
        <w:autoSpaceDN w:val="0"/>
        <w:adjustRightInd w:val="0"/>
        <w:spacing w:after="120" w:line="240" w:lineRule="auto"/>
        <w:contextualSpacing/>
        <w:jc w:val="both"/>
        <w:textAlignment w:val="baseline"/>
        <w:rPr>
          <w:rFonts w:eastAsia="Times New Roman" w:cstheme="minorHAnsi"/>
          <w:lang w:val="sl-SI"/>
        </w:rPr>
      </w:pPr>
      <w:r w:rsidRPr="004A6E08">
        <w:rPr>
          <w:rFonts w:eastAsia="Times New Roman" w:cstheme="minorHAnsi"/>
          <w:lang w:val="sl-SI"/>
        </w:rPr>
        <w:t>Zakon o elektroničkim komunikacijama,</w:t>
      </w:r>
    </w:p>
    <w:p w14:paraId="24371077" w14:textId="77777777" w:rsidR="005658F6" w:rsidRPr="004A6E08" w:rsidRDefault="005658F6" w:rsidP="005658F6">
      <w:pPr>
        <w:numPr>
          <w:ilvl w:val="0"/>
          <w:numId w:val="15"/>
        </w:numPr>
        <w:overflowPunct w:val="0"/>
        <w:autoSpaceDE w:val="0"/>
        <w:autoSpaceDN w:val="0"/>
        <w:adjustRightInd w:val="0"/>
        <w:spacing w:after="120" w:line="240" w:lineRule="auto"/>
        <w:contextualSpacing/>
        <w:jc w:val="both"/>
        <w:textAlignment w:val="baseline"/>
        <w:rPr>
          <w:rFonts w:eastAsia="Times New Roman" w:cstheme="minorHAnsi"/>
          <w:lang w:val="sl-SI"/>
        </w:rPr>
      </w:pPr>
      <w:r w:rsidRPr="004A6E08">
        <w:rPr>
          <w:rFonts w:eastAsia="Times New Roman" w:cstheme="minorHAnsi"/>
          <w:lang w:val="sl-SI"/>
        </w:rPr>
        <w:t xml:space="preserve">Zakon o poštanskim uslugama, </w:t>
      </w:r>
    </w:p>
    <w:p w14:paraId="6F7F7C5F" w14:textId="77777777" w:rsidR="005658F6" w:rsidRPr="004A6E08" w:rsidRDefault="005658F6" w:rsidP="005658F6">
      <w:pPr>
        <w:numPr>
          <w:ilvl w:val="0"/>
          <w:numId w:val="15"/>
        </w:numPr>
        <w:overflowPunct w:val="0"/>
        <w:autoSpaceDE w:val="0"/>
        <w:autoSpaceDN w:val="0"/>
        <w:adjustRightInd w:val="0"/>
        <w:spacing w:after="120" w:line="240" w:lineRule="auto"/>
        <w:contextualSpacing/>
        <w:jc w:val="both"/>
        <w:textAlignment w:val="baseline"/>
        <w:rPr>
          <w:rFonts w:eastAsia="Times New Roman" w:cstheme="minorHAnsi"/>
          <w:lang w:val="sl-SI"/>
        </w:rPr>
      </w:pPr>
      <w:r w:rsidRPr="004A6E08">
        <w:rPr>
          <w:rFonts w:eastAsia="Times New Roman" w:cstheme="minorHAnsi"/>
          <w:lang w:val="sl-SI"/>
        </w:rPr>
        <w:t xml:space="preserve">Zakon o regulaciji tržišta željezničkih usluga i zaštiti prava putnika u željezničkom prometu,  </w:t>
      </w:r>
    </w:p>
    <w:p w14:paraId="08D32BDF" w14:textId="77777777" w:rsidR="005658F6" w:rsidRPr="00992AB8" w:rsidRDefault="005658F6" w:rsidP="005658F6">
      <w:pPr>
        <w:numPr>
          <w:ilvl w:val="0"/>
          <w:numId w:val="15"/>
        </w:numPr>
        <w:overflowPunct w:val="0"/>
        <w:autoSpaceDE w:val="0"/>
        <w:autoSpaceDN w:val="0"/>
        <w:adjustRightInd w:val="0"/>
        <w:spacing w:after="120" w:line="240" w:lineRule="auto"/>
        <w:contextualSpacing/>
        <w:jc w:val="both"/>
        <w:textAlignment w:val="baseline"/>
        <w:rPr>
          <w:rFonts w:eastAsia="Times New Roman" w:cstheme="minorHAnsi"/>
          <w:lang w:val="sl-SI"/>
        </w:rPr>
      </w:pPr>
      <w:r w:rsidRPr="004A6E08">
        <w:rPr>
          <w:rFonts w:eastAsia="Times New Roman" w:cstheme="minorHAnsi"/>
          <w:lang w:val="sl-SI"/>
        </w:rPr>
        <w:t>Pravilnik o plaćanju naknada za obavljanje poslova Hrvatske regulatorne</w:t>
      </w:r>
      <w:r>
        <w:rPr>
          <w:rFonts w:eastAsia="Times New Roman" w:cstheme="minorHAnsi"/>
          <w:lang w:val="sl-SI"/>
        </w:rPr>
        <w:t xml:space="preserve"> agencije za mrežne djelatnosti,</w:t>
      </w:r>
    </w:p>
    <w:p w14:paraId="2846B818" w14:textId="77777777" w:rsidR="005658F6" w:rsidRDefault="005658F6" w:rsidP="005658F6">
      <w:pPr>
        <w:numPr>
          <w:ilvl w:val="0"/>
          <w:numId w:val="15"/>
        </w:numPr>
        <w:overflowPunct w:val="0"/>
        <w:autoSpaceDE w:val="0"/>
        <w:autoSpaceDN w:val="0"/>
        <w:adjustRightInd w:val="0"/>
        <w:spacing w:after="120" w:line="240" w:lineRule="auto"/>
        <w:contextualSpacing/>
        <w:jc w:val="both"/>
        <w:textAlignment w:val="baseline"/>
        <w:rPr>
          <w:rFonts w:eastAsia="Times New Roman" w:cstheme="minorHAnsi"/>
          <w:lang w:val="sl-SI"/>
        </w:rPr>
      </w:pPr>
      <w:r w:rsidRPr="004A6E08">
        <w:rPr>
          <w:rFonts w:eastAsia="Times New Roman" w:cstheme="minorHAnsi"/>
          <w:lang w:val="sl-SI"/>
        </w:rPr>
        <w:t>Statut Hrvatske regulatorne agencije za mrežne djelatnosti.</w:t>
      </w:r>
    </w:p>
    <w:p w14:paraId="1E003084" w14:textId="7C17CB6D" w:rsidR="00437A6B" w:rsidRDefault="00437A6B" w:rsidP="00437A6B">
      <w:pPr>
        <w:overflowPunct w:val="0"/>
        <w:autoSpaceDE w:val="0"/>
        <w:autoSpaceDN w:val="0"/>
        <w:adjustRightInd w:val="0"/>
        <w:spacing w:after="120" w:line="240" w:lineRule="auto"/>
        <w:ind w:left="720"/>
        <w:contextualSpacing/>
        <w:jc w:val="both"/>
        <w:textAlignment w:val="baseline"/>
        <w:rPr>
          <w:rFonts w:eastAsia="Times New Roman" w:cstheme="minorHAnsi"/>
          <w:lang w:val="sl-SI"/>
        </w:rPr>
      </w:pPr>
    </w:p>
    <w:p w14:paraId="0851EC55" w14:textId="77777777" w:rsidR="00437A6B" w:rsidRPr="004A6E08" w:rsidRDefault="00437A6B" w:rsidP="00437A6B">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lastRenderedPageBreak/>
        <w:t>Opis aktivnosti</w:t>
      </w:r>
    </w:p>
    <w:p w14:paraId="49E42B15" w14:textId="756C2341" w:rsidR="00437A6B" w:rsidRPr="004A6E08" w:rsidRDefault="00437A6B" w:rsidP="00437A6B">
      <w:pPr>
        <w:keepNext/>
        <w:keepLines/>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Sukladno odredbama Zakona o elektroničkim komunikacijama, sredstva za obavljanje poslova HAKOM-a za područje elektroničkih komunikacija osiguravaju se: iz naknade za upravljanje adresnim i brojevnim prostorom, iz naknade za upravljanje radiofrekvencijskim spektrom, iz naknade za obavljanje drugih poslova HAKOM-a, u postotku od ukupnoga godišnjeg bruto prihoda koji su u prethodnoj kalendarskoj godini ostvarili operatori u obavljanju djelatnosti elektroničkih komunikacijskih mreža i usluga na tržištu, osim nakladnika elektroničkih medija koji odašilju svoje radijske ili televizijske programe putem vlastite elektroničke komunikacijske mreže, koju upotr</w:t>
      </w:r>
      <w:r w:rsidR="000158EC">
        <w:rPr>
          <w:rFonts w:eastAsia="Times New Roman" w:cstheme="minorHAnsi"/>
          <w:lang w:val="sl-SI"/>
        </w:rPr>
        <w:t>ebljavaju isključivo u tu svrhu</w:t>
      </w:r>
      <w:r w:rsidRPr="004A6E08">
        <w:rPr>
          <w:rFonts w:eastAsia="Times New Roman" w:cstheme="minorHAnsi"/>
          <w:lang w:val="sl-SI"/>
        </w:rPr>
        <w:t>.</w:t>
      </w:r>
    </w:p>
    <w:p w14:paraId="515592EE" w14:textId="77777777" w:rsidR="00437A6B" w:rsidRDefault="00437A6B" w:rsidP="00437A6B">
      <w:pPr>
        <w:keepNext/>
        <w:keepLines/>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Sredstva za obavljanje poslova HAKOM-a, za područje poštanskih usluga i regulaciju tržišta željezničkih usluga osiguravaju se u skladu s posebnim zakonima kojima se uređuje područje poštanskih usluga i regulacija tržišta željezničkih usluga, i to: iz naknade za obavljanje poslova HAKOM-a u području poštanskih usluga, u postotku od ukupnoga godišnjeg bruto prihoda koji su u prethodnoj kalendarskoj godini ostvarili davatelji poštanskih usluga, iz naknade za obavljanje poslova HAKOM-a u području regulacije tržišta željezničkih usluga, u postotku od ukupnoga godišnjeg bruto prihoda koji su u prethodnoj kalendarskoj godini ostvarili upravitelji infrastrukture.</w:t>
      </w:r>
    </w:p>
    <w:p w14:paraId="5AF2872E" w14:textId="77777777" w:rsidR="00437A6B" w:rsidRPr="004A6E08" w:rsidRDefault="00437A6B" w:rsidP="00437A6B">
      <w:pPr>
        <w:jc w:val="both"/>
        <w:rPr>
          <w:rFonts w:cstheme="minorHAnsi"/>
        </w:rPr>
      </w:pPr>
      <w:r>
        <w:rPr>
          <w:rFonts w:eastAsia="Times New Roman" w:cstheme="minorHAnsi"/>
          <w:bCs/>
          <w:lang w:val="sl-SI"/>
        </w:rPr>
        <w:t>Prihodi</w:t>
      </w:r>
      <w:r w:rsidRPr="004A6E08">
        <w:rPr>
          <w:rFonts w:eastAsia="Times New Roman" w:cstheme="minorHAnsi"/>
          <w:bCs/>
          <w:lang w:val="sl-SI"/>
        </w:rPr>
        <w:t xml:space="preserve"> HAKOM-a ostvareni u 202</w:t>
      </w:r>
      <w:r>
        <w:rPr>
          <w:rFonts w:eastAsia="Times New Roman" w:cstheme="minorHAnsi"/>
          <w:bCs/>
          <w:lang w:val="sl-SI"/>
        </w:rPr>
        <w:t>4</w:t>
      </w:r>
      <w:r w:rsidRPr="004A6E08">
        <w:rPr>
          <w:rFonts w:eastAsia="Times New Roman" w:cstheme="minorHAnsi"/>
          <w:bCs/>
          <w:lang w:val="sl-SI"/>
        </w:rPr>
        <w:t>. godini sastoje se od:</w:t>
      </w:r>
    </w:p>
    <w:p w14:paraId="2538DDEF" w14:textId="77777777" w:rsidR="00437A6B" w:rsidRPr="004A6E08" w:rsidRDefault="00437A6B" w:rsidP="00437A6B">
      <w:pPr>
        <w:pStyle w:val="ListParagraph"/>
        <w:numPr>
          <w:ilvl w:val="0"/>
          <w:numId w:val="39"/>
        </w:numPr>
        <w:jc w:val="both"/>
        <w:rPr>
          <w:rFonts w:cstheme="minorHAnsi"/>
        </w:rPr>
      </w:pPr>
      <w:r w:rsidRPr="004A6E08">
        <w:rPr>
          <w:rFonts w:cstheme="minorHAnsi"/>
        </w:rPr>
        <w:t>(63) pomoći iz inozemstva i od subjekata unutar općeg proračuna</w:t>
      </w:r>
    </w:p>
    <w:p w14:paraId="11A6D4B9" w14:textId="77777777" w:rsidR="00437A6B" w:rsidRPr="004A6E08" w:rsidRDefault="00437A6B" w:rsidP="00437A6B">
      <w:pPr>
        <w:pStyle w:val="ListParagraph"/>
        <w:numPr>
          <w:ilvl w:val="0"/>
          <w:numId w:val="39"/>
        </w:numPr>
        <w:jc w:val="both"/>
        <w:rPr>
          <w:rFonts w:cstheme="minorHAnsi"/>
        </w:rPr>
      </w:pPr>
      <w:r w:rsidRPr="004A6E08">
        <w:rPr>
          <w:rFonts w:cstheme="minorHAnsi"/>
        </w:rPr>
        <w:t>(64) prihoda od imovine</w:t>
      </w:r>
    </w:p>
    <w:p w14:paraId="483B67D7" w14:textId="77777777" w:rsidR="00437A6B" w:rsidRPr="004A6E08" w:rsidRDefault="00437A6B" w:rsidP="00437A6B">
      <w:pPr>
        <w:pStyle w:val="ListParagraph"/>
        <w:numPr>
          <w:ilvl w:val="0"/>
          <w:numId w:val="39"/>
        </w:numPr>
        <w:jc w:val="both"/>
        <w:rPr>
          <w:rFonts w:cstheme="minorHAnsi"/>
        </w:rPr>
      </w:pPr>
      <w:r w:rsidRPr="004A6E08">
        <w:rPr>
          <w:rFonts w:cstheme="minorHAnsi"/>
        </w:rPr>
        <w:t>(65) prihoda od upr. i admin. pristojbi i po posebnim propisima i naknada</w:t>
      </w:r>
    </w:p>
    <w:p w14:paraId="2A0B8A82" w14:textId="0153F95E" w:rsidR="00437A6B" w:rsidRPr="004A6E08" w:rsidRDefault="00603E22" w:rsidP="00437A6B">
      <w:pPr>
        <w:pStyle w:val="ListParagraph"/>
        <w:numPr>
          <w:ilvl w:val="0"/>
          <w:numId w:val="39"/>
        </w:numPr>
        <w:jc w:val="both"/>
        <w:rPr>
          <w:rFonts w:cstheme="minorHAnsi"/>
        </w:rPr>
      </w:pPr>
      <w:r>
        <w:rPr>
          <w:rFonts w:cstheme="minorHAnsi"/>
        </w:rPr>
        <w:t>(68) kazni, upravnih mjera i ostali prihoda</w:t>
      </w:r>
    </w:p>
    <w:p w14:paraId="17CD6A2E" w14:textId="6A7AA4F2" w:rsidR="00437A6B" w:rsidRDefault="00603E22" w:rsidP="00437A6B">
      <w:pPr>
        <w:pStyle w:val="ListParagraph"/>
        <w:numPr>
          <w:ilvl w:val="0"/>
          <w:numId w:val="39"/>
        </w:numPr>
        <w:jc w:val="both"/>
        <w:rPr>
          <w:rFonts w:cstheme="minorHAnsi"/>
        </w:rPr>
      </w:pPr>
      <w:r>
        <w:rPr>
          <w:rFonts w:cstheme="minorHAnsi"/>
        </w:rPr>
        <w:t>(72) prihoda</w:t>
      </w:r>
      <w:r w:rsidR="00437A6B" w:rsidRPr="004A6E08">
        <w:rPr>
          <w:rFonts w:cstheme="minorHAnsi"/>
        </w:rPr>
        <w:t xml:space="preserve"> od prodaje proizvedene dugotrajne imovine</w:t>
      </w:r>
      <w:r w:rsidR="00A75921">
        <w:rPr>
          <w:rFonts w:cstheme="minorHAnsi"/>
        </w:rPr>
        <w:t>.</w:t>
      </w:r>
    </w:p>
    <w:p w14:paraId="3E6F2F18" w14:textId="77777777" w:rsidR="00437A6B" w:rsidRPr="004A6E08" w:rsidRDefault="00437A6B" w:rsidP="00437A6B">
      <w:pPr>
        <w:keepNext/>
        <w:keepLines/>
        <w:overflowPunct w:val="0"/>
        <w:autoSpaceDE w:val="0"/>
        <w:autoSpaceDN w:val="0"/>
        <w:adjustRightInd w:val="0"/>
        <w:spacing w:after="120" w:line="240" w:lineRule="auto"/>
        <w:jc w:val="both"/>
        <w:textAlignment w:val="baseline"/>
        <w:outlineLvl w:val="7"/>
        <w:rPr>
          <w:rFonts w:eastAsia="Times New Roman" w:cstheme="minorHAnsi"/>
          <w:lang w:val="sl-SI"/>
        </w:rPr>
      </w:pPr>
      <w:r>
        <w:rPr>
          <w:rFonts w:eastAsia="Times New Roman" w:cstheme="minorHAnsi"/>
          <w:lang w:val="sl-SI"/>
        </w:rPr>
        <w:t>Rashodi HAKOM-a u 2024</w:t>
      </w:r>
      <w:r w:rsidRPr="004A6E08">
        <w:rPr>
          <w:rFonts w:eastAsia="Times New Roman" w:cstheme="minorHAnsi"/>
          <w:lang w:val="sl-SI"/>
        </w:rPr>
        <w:t xml:space="preserve">. godini ostvareni su u iznosu od </w:t>
      </w:r>
      <w:r>
        <w:rPr>
          <w:rFonts w:eastAsia="Times New Roman" w:cstheme="minorHAnsi"/>
          <w:lang w:val="sl-SI"/>
        </w:rPr>
        <w:t>13.791.728,85</w:t>
      </w:r>
      <w:r w:rsidRPr="004A6E08">
        <w:rPr>
          <w:rFonts w:eastAsia="Times New Roman" w:cstheme="minorHAnsi"/>
          <w:lang w:val="sl-SI"/>
        </w:rPr>
        <w:t xml:space="preserve"> EUR, a sastoje se od:</w:t>
      </w:r>
    </w:p>
    <w:p w14:paraId="4A6E7107" w14:textId="77777777" w:rsidR="00437A6B" w:rsidRPr="004A6E08"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 xml:space="preserve">rashoda za zaposlene u iznosu od </w:t>
      </w:r>
      <w:r>
        <w:rPr>
          <w:rFonts w:eastAsia="Times New Roman" w:cstheme="minorHAnsi"/>
          <w:lang w:val="sl-SI"/>
        </w:rPr>
        <w:t>8.367.476,91</w:t>
      </w:r>
      <w:r w:rsidRPr="004A6E08">
        <w:rPr>
          <w:rFonts w:eastAsia="Times New Roman" w:cstheme="minorHAnsi"/>
          <w:lang w:val="sl-SI"/>
        </w:rPr>
        <w:t xml:space="preserve"> EUR,</w:t>
      </w:r>
    </w:p>
    <w:p w14:paraId="09F2F40F" w14:textId="77777777" w:rsidR="00437A6B" w:rsidRPr="004A6E08"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 xml:space="preserve">materijalnih rashoda u iznosu od </w:t>
      </w:r>
      <w:r>
        <w:rPr>
          <w:rFonts w:eastAsia="Times New Roman" w:cstheme="minorHAnsi"/>
          <w:lang w:val="sl-SI"/>
        </w:rPr>
        <w:t>4.239.855,65</w:t>
      </w:r>
      <w:r w:rsidRPr="004A6E08">
        <w:rPr>
          <w:rFonts w:eastAsia="Times New Roman" w:cstheme="minorHAnsi"/>
          <w:lang w:val="sl-SI"/>
        </w:rPr>
        <w:t xml:space="preserve"> EUR,</w:t>
      </w:r>
    </w:p>
    <w:p w14:paraId="4889A71C" w14:textId="77777777" w:rsidR="00437A6B"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 xml:space="preserve">financijskih rashoda u iznosu od </w:t>
      </w:r>
      <w:r>
        <w:rPr>
          <w:rFonts w:eastAsia="Times New Roman" w:cstheme="minorHAnsi"/>
          <w:lang w:val="sl-SI"/>
        </w:rPr>
        <w:t>5.276,52</w:t>
      </w:r>
      <w:r w:rsidRPr="004A6E08">
        <w:rPr>
          <w:rFonts w:eastAsia="Times New Roman" w:cstheme="minorHAnsi"/>
          <w:lang w:val="sl-SI"/>
        </w:rPr>
        <w:t xml:space="preserve"> EUR,</w:t>
      </w:r>
    </w:p>
    <w:p w14:paraId="63DCB7D5" w14:textId="7384C674" w:rsidR="00437A6B" w:rsidRPr="004A6E08"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Pr>
          <w:rFonts w:eastAsia="Times New Roman" w:cstheme="minorHAnsi"/>
          <w:lang w:val="sl-SI"/>
        </w:rPr>
        <w:t>rashoda za nabavu neproizvedene dugotrajne imovine u iznosu od 21.400,00 EUR</w:t>
      </w:r>
      <w:r w:rsidR="00603E22">
        <w:rPr>
          <w:rFonts w:eastAsia="Times New Roman" w:cstheme="minorHAnsi"/>
          <w:lang w:val="sl-SI"/>
        </w:rPr>
        <w:t>,</w:t>
      </w:r>
    </w:p>
    <w:p w14:paraId="25855E57" w14:textId="77777777" w:rsidR="00437A6B" w:rsidRPr="004A6E08"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 xml:space="preserve">rashoda za nabavu proizvedene dugotrajne imovine u iznosu od </w:t>
      </w:r>
      <w:r>
        <w:rPr>
          <w:rFonts w:eastAsia="Times New Roman" w:cstheme="minorHAnsi"/>
          <w:lang w:val="sl-SI"/>
        </w:rPr>
        <w:t>832.740,37</w:t>
      </w:r>
      <w:r w:rsidRPr="004A6E08">
        <w:rPr>
          <w:rFonts w:eastAsia="Times New Roman" w:cstheme="minorHAnsi"/>
          <w:lang w:val="sl-SI"/>
        </w:rPr>
        <w:t xml:space="preserve"> EUR,</w:t>
      </w:r>
    </w:p>
    <w:p w14:paraId="08810208" w14:textId="77777777" w:rsidR="00437A6B" w:rsidRPr="004A6E08" w:rsidRDefault="00437A6B" w:rsidP="00437A6B">
      <w:pPr>
        <w:keepNext/>
        <w:keepLines/>
        <w:numPr>
          <w:ilvl w:val="0"/>
          <w:numId w:val="13"/>
        </w:numPr>
        <w:overflowPunct w:val="0"/>
        <w:autoSpaceDE w:val="0"/>
        <w:autoSpaceDN w:val="0"/>
        <w:adjustRightInd w:val="0"/>
        <w:spacing w:after="120" w:line="240" w:lineRule="auto"/>
        <w:jc w:val="both"/>
        <w:textAlignment w:val="baseline"/>
        <w:outlineLvl w:val="7"/>
        <w:rPr>
          <w:rFonts w:eastAsia="Times New Roman" w:cstheme="minorHAnsi"/>
          <w:lang w:val="sl-SI"/>
        </w:rPr>
      </w:pPr>
      <w:r w:rsidRPr="004A6E08">
        <w:rPr>
          <w:rFonts w:eastAsia="Times New Roman" w:cstheme="minorHAnsi"/>
          <w:lang w:val="sl-SI"/>
        </w:rPr>
        <w:t xml:space="preserve">rashoda za dodatna ulaganja na nefinancijskoj imovini u iznosu od </w:t>
      </w:r>
      <w:r>
        <w:rPr>
          <w:rFonts w:eastAsia="Times New Roman" w:cstheme="minorHAnsi"/>
          <w:lang w:val="sl-SI"/>
        </w:rPr>
        <w:t xml:space="preserve">324.979,40 </w:t>
      </w:r>
      <w:r w:rsidRPr="004A6E08">
        <w:rPr>
          <w:rFonts w:eastAsia="Times New Roman" w:cstheme="minorHAnsi"/>
          <w:lang w:val="sl-SI"/>
        </w:rPr>
        <w:t>EUR.</w:t>
      </w:r>
    </w:p>
    <w:p w14:paraId="583798E3" w14:textId="249175C8" w:rsidR="00437A6B" w:rsidRPr="004A6E08" w:rsidRDefault="00437A6B" w:rsidP="00437A6B">
      <w:pPr>
        <w:overflowPunct w:val="0"/>
        <w:autoSpaceDE w:val="0"/>
        <w:autoSpaceDN w:val="0"/>
        <w:adjustRightInd w:val="0"/>
        <w:spacing w:after="120" w:line="240" w:lineRule="auto"/>
        <w:jc w:val="both"/>
        <w:textAlignment w:val="baseline"/>
        <w:rPr>
          <w:rFonts w:eastAsia="Times New Roman" w:cstheme="minorHAnsi"/>
          <w:lang w:val="sl-SI"/>
        </w:rPr>
      </w:pPr>
      <w:r w:rsidRPr="004A6E08">
        <w:rPr>
          <w:rFonts w:eastAsia="Times New Roman" w:cstheme="minorHAnsi"/>
          <w:lang w:val="sl-SI"/>
        </w:rPr>
        <w:t xml:space="preserve">Rashodi za zaposlene su u promatranom razdoblju ostvareni u iznosu od </w:t>
      </w:r>
      <w:r>
        <w:rPr>
          <w:rFonts w:eastAsia="Times New Roman" w:cstheme="minorHAnsi"/>
          <w:lang w:val="sl-SI"/>
        </w:rPr>
        <w:t xml:space="preserve">8.367.476,91 </w:t>
      </w:r>
      <w:r w:rsidRPr="004A6E08">
        <w:rPr>
          <w:rFonts w:eastAsia="Times New Roman" w:cstheme="minorHAnsi"/>
          <w:lang w:val="sl-SI"/>
        </w:rPr>
        <w:t xml:space="preserve">EUR, što predstavlja povećanje od </w:t>
      </w:r>
      <w:r w:rsidR="00603E22">
        <w:rPr>
          <w:rFonts w:eastAsia="Times New Roman" w:cstheme="minorHAnsi"/>
          <w:lang w:val="sl-SI"/>
        </w:rPr>
        <w:t>14,74</w:t>
      </w:r>
      <w:r w:rsidRPr="004A6E08">
        <w:rPr>
          <w:rFonts w:eastAsia="Times New Roman" w:cstheme="minorHAnsi"/>
          <w:lang w:val="sl-SI"/>
        </w:rPr>
        <w:t>% u odnosu na ostvarenje u promatra</w:t>
      </w:r>
      <w:r>
        <w:rPr>
          <w:rFonts w:eastAsia="Times New Roman" w:cstheme="minorHAnsi"/>
          <w:lang w:val="sl-SI"/>
        </w:rPr>
        <w:t>nom razdoblju prethodne godine.</w:t>
      </w:r>
      <w:r w:rsidR="002272EF">
        <w:rPr>
          <w:rFonts w:eastAsia="Times New Roman" w:cstheme="minorHAnsi"/>
          <w:lang w:val="sl-SI"/>
        </w:rPr>
        <w:t xml:space="preserve"> </w:t>
      </w:r>
      <w:r w:rsidR="002272EF" w:rsidRPr="002272EF">
        <w:rPr>
          <w:rFonts w:eastAsia="Times New Roman" w:cstheme="minorHAnsi"/>
          <w:lang w:val="sl-SI"/>
        </w:rPr>
        <w:t xml:space="preserve">Povećanje rashoda za zaposlene posljedica je povećanja ukupnog iznosa troška dodatka za radni staž, usklađenja plaće s inflacijom te uređenja unutarnjeg ustrojstva, sistematizacije radnih mjesta i plaće zaposlenika. HAKOM je u 2024. počeo primjenjivati osnovicu za obračun plaće sukladno Zakonu o plaćama u državnoj službi </w:t>
      </w:r>
      <w:r w:rsidR="00E42763">
        <w:rPr>
          <w:rFonts w:eastAsia="Times New Roman" w:cstheme="minorHAnsi"/>
          <w:lang w:val="sl-SI"/>
        </w:rPr>
        <w:t xml:space="preserve">i javnim službama (NN </w:t>
      </w:r>
      <w:r w:rsidR="00CC0411">
        <w:rPr>
          <w:rFonts w:eastAsia="Times New Roman" w:cstheme="minorHAnsi"/>
          <w:lang w:val="sl-SI"/>
        </w:rPr>
        <w:t xml:space="preserve">br. </w:t>
      </w:r>
      <w:r w:rsidR="00E42763">
        <w:rPr>
          <w:rFonts w:eastAsia="Times New Roman" w:cstheme="minorHAnsi"/>
          <w:lang w:val="sl-SI"/>
        </w:rPr>
        <w:t xml:space="preserve">155/23). </w:t>
      </w:r>
    </w:p>
    <w:p w14:paraId="67F12E34" w14:textId="6DBE5ABF" w:rsidR="00437A6B" w:rsidRPr="004A6E08" w:rsidRDefault="00437A6B" w:rsidP="00437A6B">
      <w:pPr>
        <w:overflowPunct w:val="0"/>
        <w:autoSpaceDE w:val="0"/>
        <w:autoSpaceDN w:val="0"/>
        <w:adjustRightInd w:val="0"/>
        <w:spacing w:after="120" w:line="240" w:lineRule="auto"/>
        <w:jc w:val="both"/>
        <w:textAlignment w:val="baseline"/>
        <w:rPr>
          <w:rFonts w:eastAsia="Calibri" w:cstheme="minorHAnsi"/>
          <w:lang w:val="sl-SI"/>
        </w:rPr>
      </w:pPr>
      <w:r w:rsidRPr="004A6E08">
        <w:rPr>
          <w:rFonts w:eastAsia="Times New Roman" w:cstheme="minorHAnsi"/>
          <w:lang w:val="sl-SI"/>
        </w:rPr>
        <w:t>Materijalni rashodi u 202</w:t>
      </w:r>
      <w:r>
        <w:rPr>
          <w:rFonts w:eastAsia="Times New Roman" w:cstheme="minorHAnsi"/>
          <w:lang w:val="sl-SI"/>
        </w:rPr>
        <w:t>4</w:t>
      </w:r>
      <w:r w:rsidR="00603E22">
        <w:rPr>
          <w:rFonts w:eastAsia="Times New Roman" w:cstheme="minorHAnsi"/>
          <w:lang w:val="sl-SI"/>
        </w:rPr>
        <w:t>.</w:t>
      </w:r>
      <w:r w:rsidRPr="004A6E08">
        <w:rPr>
          <w:rFonts w:eastAsia="Times New Roman" w:cstheme="minorHAnsi"/>
          <w:lang w:val="sl-SI"/>
        </w:rPr>
        <w:t xml:space="preserve"> ostvareni su u iznosu od </w:t>
      </w:r>
      <w:r>
        <w:rPr>
          <w:rFonts w:eastAsia="Calibri" w:cstheme="minorHAnsi"/>
          <w:lang w:val="sl-SI"/>
        </w:rPr>
        <w:t>4.239.855,65</w:t>
      </w:r>
      <w:r w:rsidRPr="004A6E08">
        <w:rPr>
          <w:rFonts w:eastAsia="Calibri" w:cstheme="minorHAnsi"/>
          <w:lang w:val="sl-SI"/>
        </w:rPr>
        <w:t xml:space="preserve"> EUR, što predstavlja </w:t>
      </w:r>
      <w:r>
        <w:rPr>
          <w:rFonts w:eastAsia="Calibri" w:cstheme="minorHAnsi"/>
          <w:lang w:val="sl-SI"/>
        </w:rPr>
        <w:t>smanjenje</w:t>
      </w:r>
      <w:r w:rsidRPr="004A6E08">
        <w:rPr>
          <w:rFonts w:eastAsia="Calibri" w:cstheme="minorHAnsi"/>
          <w:lang w:val="sl-SI"/>
        </w:rPr>
        <w:t xml:space="preserve"> </w:t>
      </w:r>
      <w:r>
        <w:rPr>
          <w:rFonts w:eastAsia="Calibri" w:cstheme="minorHAnsi"/>
          <w:lang w:val="sl-SI"/>
        </w:rPr>
        <w:t>za</w:t>
      </w:r>
      <w:r w:rsidRPr="004A6E08">
        <w:rPr>
          <w:rFonts w:eastAsia="Calibri" w:cstheme="minorHAnsi"/>
          <w:lang w:val="sl-SI"/>
        </w:rPr>
        <w:t xml:space="preserve"> </w:t>
      </w:r>
      <w:r>
        <w:rPr>
          <w:rFonts w:eastAsia="Calibri" w:cstheme="minorHAnsi"/>
          <w:lang w:val="sl-SI"/>
        </w:rPr>
        <w:t>10,28</w:t>
      </w:r>
      <w:r w:rsidRPr="004A6E08">
        <w:rPr>
          <w:rFonts w:eastAsia="Calibri" w:cstheme="minorHAnsi"/>
          <w:lang w:val="sl-SI"/>
        </w:rPr>
        <w:t>%</w:t>
      </w:r>
      <w:r w:rsidR="00D0271A">
        <w:rPr>
          <w:rFonts w:eastAsia="Calibri" w:cstheme="minorHAnsi"/>
          <w:lang w:val="sl-SI"/>
        </w:rPr>
        <w:t xml:space="preserve"> u odnosu na 2023.</w:t>
      </w:r>
      <w:r w:rsidRPr="004A6E08">
        <w:rPr>
          <w:rFonts w:eastAsia="Calibri" w:cstheme="minorHAnsi"/>
          <w:lang w:val="sl-SI"/>
        </w:rPr>
        <w:t xml:space="preserve"> Na </w:t>
      </w:r>
      <w:r>
        <w:rPr>
          <w:rFonts w:eastAsia="Calibri" w:cstheme="minorHAnsi"/>
          <w:lang w:val="sl-SI"/>
        </w:rPr>
        <w:t>smanjenje</w:t>
      </w:r>
      <w:r w:rsidRPr="004A6E08">
        <w:rPr>
          <w:rFonts w:eastAsia="Calibri" w:cstheme="minorHAnsi"/>
          <w:lang w:val="sl-SI"/>
        </w:rPr>
        <w:t xml:space="preserve"> mat</w:t>
      </w:r>
      <w:r w:rsidR="00603E22">
        <w:rPr>
          <w:rFonts w:eastAsia="Calibri" w:cstheme="minorHAnsi"/>
          <w:lang w:val="sl-SI"/>
        </w:rPr>
        <w:t>erijalnih rashoda je utjecalo smanjenje</w:t>
      </w:r>
      <w:r>
        <w:rPr>
          <w:rFonts w:eastAsia="Calibri" w:cstheme="minorHAnsi"/>
          <w:lang w:val="sl-SI"/>
        </w:rPr>
        <w:t>:</w:t>
      </w:r>
    </w:p>
    <w:p w14:paraId="2A8676C1" w14:textId="452AF340" w:rsidR="00437A6B" w:rsidRDefault="00437A6B" w:rsidP="00437A6B">
      <w:pPr>
        <w:pStyle w:val="ListParagraph"/>
        <w:numPr>
          <w:ilvl w:val="0"/>
          <w:numId w:val="40"/>
        </w:numPr>
        <w:rPr>
          <w:lang w:val="sl-SI"/>
        </w:rPr>
      </w:pPr>
      <w:r w:rsidRPr="00B6133C">
        <w:rPr>
          <w:lang w:val="sl-SI"/>
        </w:rPr>
        <w:t>stručno</w:t>
      </w:r>
      <w:r w:rsidR="00603E22">
        <w:rPr>
          <w:lang w:val="sl-SI"/>
        </w:rPr>
        <w:t>g usavršavanja</w:t>
      </w:r>
      <w:r w:rsidRPr="00B6133C">
        <w:rPr>
          <w:lang w:val="sl-SI"/>
        </w:rPr>
        <w:t xml:space="preserve"> zaposlenika</w:t>
      </w:r>
    </w:p>
    <w:p w14:paraId="0386993E" w14:textId="77777777" w:rsidR="00437A6B" w:rsidRPr="00B6133C" w:rsidRDefault="00437A6B" w:rsidP="00437A6B">
      <w:pPr>
        <w:pStyle w:val="ListParagraph"/>
        <w:numPr>
          <w:ilvl w:val="0"/>
          <w:numId w:val="40"/>
        </w:numPr>
        <w:rPr>
          <w:lang w:val="sl-SI"/>
        </w:rPr>
      </w:pPr>
      <w:r>
        <w:rPr>
          <w:lang w:val="sl-SI"/>
        </w:rPr>
        <w:t xml:space="preserve">troškova uredskog materijala </w:t>
      </w:r>
    </w:p>
    <w:p w14:paraId="5DB18BCE" w14:textId="77777777" w:rsidR="00437A6B" w:rsidRPr="00B6133C" w:rsidRDefault="00437A6B" w:rsidP="00437A6B">
      <w:pPr>
        <w:pStyle w:val="ListParagraph"/>
        <w:numPr>
          <w:ilvl w:val="0"/>
          <w:numId w:val="40"/>
        </w:numPr>
        <w:rPr>
          <w:lang w:val="sl-SI"/>
        </w:rPr>
      </w:pPr>
      <w:r w:rsidRPr="00B6133C">
        <w:rPr>
          <w:lang w:val="sl-SI"/>
        </w:rPr>
        <w:t xml:space="preserve">troškova energije </w:t>
      </w:r>
    </w:p>
    <w:p w14:paraId="7F4D4515" w14:textId="349690F6" w:rsidR="00437A6B" w:rsidRPr="00D54C4C" w:rsidRDefault="00603E22" w:rsidP="00437A6B">
      <w:pPr>
        <w:pStyle w:val="ListParagraph"/>
        <w:numPr>
          <w:ilvl w:val="0"/>
          <w:numId w:val="40"/>
        </w:numPr>
        <w:rPr>
          <w:rFonts w:eastAsia="Calibri" w:cstheme="minorHAnsi"/>
          <w:lang w:val="sl-SI"/>
        </w:rPr>
      </w:pPr>
      <w:r>
        <w:rPr>
          <w:lang w:val="sl-SI"/>
        </w:rPr>
        <w:t>intelektualnih usluga</w:t>
      </w:r>
      <w:r w:rsidR="00A75921">
        <w:rPr>
          <w:lang w:val="sl-SI"/>
        </w:rPr>
        <w:t>.</w:t>
      </w:r>
    </w:p>
    <w:p w14:paraId="5260425F" w14:textId="77777777" w:rsidR="00437A6B" w:rsidRPr="00D54C4C" w:rsidRDefault="00437A6B" w:rsidP="00437A6B">
      <w:pPr>
        <w:pStyle w:val="ListParagraph"/>
        <w:rPr>
          <w:rFonts w:eastAsia="Calibri" w:cstheme="minorHAnsi"/>
          <w:lang w:val="sl-SI"/>
        </w:rPr>
      </w:pPr>
    </w:p>
    <w:p w14:paraId="51DF0735" w14:textId="351449C9" w:rsidR="00437A6B" w:rsidRPr="00D54C4C" w:rsidRDefault="00437A6B" w:rsidP="00437A6B">
      <w:pPr>
        <w:rPr>
          <w:rFonts w:eastAsia="Calibri" w:cstheme="minorHAnsi"/>
          <w:lang w:val="sl-SI"/>
        </w:rPr>
      </w:pPr>
      <w:r w:rsidRPr="00D54C4C">
        <w:rPr>
          <w:rFonts w:eastAsia="Calibri" w:cstheme="minorHAnsi"/>
          <w:lang w:val="sl-SI"/>
        </w:rPr>
        <w:t>Od materijalnih rashoda, tijekom 202</w:t>
      </w:r>
      <w:r>
        <w:rPr>
          <w:rFonts w:eastAsia="Calibri" w:cstheme="minorHAnsi"/>
          <w:lang w:val="sl-SI"/>
        </w:rPr>
        <w:t>4</w:t>
      </w:r>
      <w:r w:rsidRPr="00D54C4C">
        <w:rPr>
          <w:rFonts w:eastAsia="Calibri" w:cstheme="minorHAnsi"/>
          <w:lang w:val="sl-SI"/>
        </w:rPr>
        <w:t xml:space="preserve">. </w:t>
      </w:r>
      <w:r w:rsidR="006A79E9">
        <w:rPr>
          <w:rFonts w:eastAsia="Calibri" w:cstheme="minorHAnsi"/>
          <w:lang w:val="sl-SI"/>
        </w:rPr>
        <w:t>značajnije su porasli troškovi</w:t>
      </w:r>
      <w:r>
        <w:rPr>
          <w:rFonts w:eastAsia="Calibri" w:cstheme="minorHAnsi"/>
          <w:lang w:val="sl-SI"/>
        </w:rPr>
        <w:t>, usluge telefona, pošte i prijevoza, usluge tekućeg i investicijskog održavanja, usluge promidžbe i info</w:t>
      </w:r>
      <w:r w:rsidR="00C649DE">
        <w:rPr>
          <w:rFonts w:eastAsia="Calibri" w:cstheme="minorHAnsi"/>
          <w:lang w:val="sl-SI"/>
        </w:rPr>
        <w:t>rmiranja</w:t>
      </w:r>
      <w:r w:rsidR="006A79E9">
        <w:rPr>
          <w:rFonts w:eastAsia="Calibri" w:cstheme="minorHAnsi"/>
          <w:lang w:val="sl-SI"/>
        </w:rPr>
        <w:t xml:space="preserve">, premije osiguranja te </w:t>
      </w:r>
      <w:r>
        <w:rPr>
          <w:rFonts w:eastAsia="Calibri" w:cstheme="minorHAnsi"/>
          <w:lang w:val="sl-SI"/>
        </w:rPr>
        <w:t>reprez</w:t>
      </w:r>
      <w:r w:rsidR="006A79E9">
        <w:rPr>
          <w:rFonts w:eastAsia="Calibri" w:cstheme="minorHAnsi"/>
          <w:lang w:val="sl-SI"/>
        </w:rPr>
        <w:t>entacija.</w:t>
      </w:r>
    </w:p>
    <w:p w14:paraId="7CA6F1BC" w14:textId="77777777" w:rsidR="001C52C5" w:rsidRPr="001C52C5" w:rsidRDefault="001C52C5" w:rsidP="001C52C5">
      <w:pPr>
        <w:overflowPunct w:val="0"/>
        <w:autoSpaceDE w:val="0"/>
        <w:autoSpaceDN w:val="0"/>
        <w:adjustRightInd w:val="0"/>
        <w:spacing w:after="120" w:line="240" w:lineRule="auto"/>
        <w:jc w:val="both"/>
        <w:textAlignment w:val="baseline"/>
        <w:rPr>
          <w:rFonts w:eastAsia="Times New Roman" w:cstheme="minorHAnsi"/>
          <w:lang w:val="sl-SI"/>
        </w:rPr>
      </w:pPr>
      <w:r w:rsidRPr="001C52C5">
        <w:rPr>
          <w:rFonts w:eastAsia="Times New Roman" w:cstheme="minorHAnsi"/>
          <w:lang w:val="sl-SI"/>
        </w:rPr>
        <w:t>Rashodi za nabavu nefinancijske imovine su ostvareni u iznosu od 1.179.119,77 EUR a odnose se na :</w:t>
      </w:r>
    </w:p>
    <w:p w14:paraId="003BFC41" w14:textId="4162F39F" w:rsidR="001C52C5" w:rsidRDefault="001C52C5" w:rsidP="00487CD3">
      <w:pPr>
        <w:pStyle w:val="ListParagraph"/>
        <w:numPr>
          <w:ilvl w:val="0"/>
          <w:numId w:val="42"/>
        </w:numPr>
        <w:overflowPunct w:val="0"/>
        <w:autoSpaceDE w:val="0"/>
        <w:autoSpaceDN w:val="0"/>
        <w:adjustRightInd w:val="0"/>
        <w:spacing w:after="120" w:line="240" w:lineRule="auto"/>
        <w:jc w:val="both"/>
        <w:textAlignment w:val="baseline"/>
        <w:rPr>
          <w:rFonts w:eastAsia="Times New Roman" w:cstheme="minorHAnsi"/>
          <w:lang w:val="sl-SI"/>
        </w:rPr>
      </w:pPr>
      <w:r w:rsidRPr="00487CD3">
        <w:rPr>
          <w:rFonts w:eastAsia="Times New Roman" w:cstheme="minorHAnsi"/>
          <w:lang w:val="sl-SI"/>
        </w:rPr>
        <w:lastRenderedPageBreak/>
        <w:t>rashodi za nabavu neproizvedene dugotrajne imovine ostvareni su u iznosu od 21.400,00 EUR, odnose se na licence za mjerni sustav Keysight NEMO Outdoor i ABBYY FineReader PDF Corporate</w:t>
      </w:r>
    </w:p>
    <w:p w14:paraId="0C28F73A" w14:textId="77777777" w:rsidR="00487CD3" w:rsidRPr="00487CD3" w:rsidRDefault="00487CD3" w:rsidP="00487CD3">
      <w:pPr>
        <w:pStyle w:val="ListParagraph"/>
        <w:overflowPunct w:val="0"/>
        <w:autoSpaceDE w:val="0"/>
        <w:autoSpaceDN w:val="0"/>
        <w:adjustRightInd w:val="0"/>
        <w:spacing w:after="120" w:line="240" w:lineRule="auto"/>
        <w:jc w:val="both"/>
        <w:textAlignment w:val="baseline"/>
        <w:rPr>
          <w:rFonts w:eastAsia="Times New Roman" w:cstheme="minorHAnsi"/>
          <w:lang w:val="sl-SI"/>
        </w:rPr>
      </w:pPr>
    </w:p>
    <w:p w14:paraId="1848F107" w14:textId="779177BA" w:rsidR="001C52C5" w:rsidRPr="00487CD3" w:rsidRDefault="001C52C5" w:rsidP="00487CD3">
      <w:pPr>
        <w:pStyle w:val="ListParagraph"/>
        <w:numPr>
          <w:ilvl w:val="0"/>
          <w:numId w:val="42"/>
        </w:numPr>
        <w:overflowPunct w:val="0"/>
        <w:autoSpaceDE w:val="0"/>
        <w:autoSpaceDN w:val="0"/>
        <w:adjustRightInd w:val="0"/>
        <w:spacing w:after="120" w:line="240" w:lineRule="auto"/>
        <w:jc w:val="both"/>
        <w:textAlignment w:val="baseline"/>
        <w:rPr>
          <w:rFonts w:eastAsia="Times New Roman" w:cstheme="minorHAnsi"/>
          <w:lang w:val="sl-SI"/>
        </w:rPr>
      </w:pPr>
      <w:r w:rsidRPr="00487CD3">
        <w:rPr>
          <w:rFonts w:eastAsia="Times New Roman" w:cstheme="minorHAnsi"/>
          <w:lang w:val="sl-SI"/>
        </w:rPr>
        <w:t>rashodi za nabavu proizvedene dugotrajne imovine su ostvareni u iznosu od 832.740,37 EUR, odnose se na rashode za nabavu računala i računalne opreme (računala, monitori, diskovni sustavi, računalna mrežna oprema, računalni poslužitelji, sustavi za videokonferencije i dr.), komunikacijske opreme (fiksni telefoni, mobiteli, antena za mikrovalnu vezu), opreme za održavanje i zaštitu (klime, kamere i protupožarni aparati), dvije meteorološke postaje, na nabavu osam novih službenih vozila te su evidentirana ulaganja u računovodstveni program Business Central i u program Kalkulator privatnosti</w:t>
      </w:r>
    </w:p>
    <w:p w14:paraId="415361DA" w14:textId="77777777" w:rsidR="001C52C5" w:rsidRPr="001C52C5" w:rsidRDefault="001C52C5" w:rsidP="001C52C5">
      <w:pPr>
        <w:overflowPunct w:val="0"/>
        <w:autoSpaceDE w:val="0"/>
        <w:autoSpaceDN w:val="0"/>
        <w:adjustRightInd w:val="0"/>
        <w:spacing w:after="120" w:line="240" w:lineRule="auto"/>
        <w:jc w:val="both"/>
        <w:textAlignment w:val="baseline"/>
        <w:rPr>
          <w:rFonts w:eastAsia="Times New Roman" w:cstheme="minorHAnsi"/>
          <w:lang w:val="sl-SI"/>
        </w:rPr>
      </w:pPr>
    </w:p>
    <w:p w14:paraId="34B552EE" w14:textId="20354D2F" w:rsidR="001C52C5" w:rsidRPr="00487CD3" w:rsidRDefault="001C52C5" w:rsidP="00487CD3">
      <w:pPr>
        <w:pStyle w:val="ListParagraph"/>
        <w:numPr>
          <w:ilvl w:val="0"/>
          <w:numId w:val="42"/>
        </w:numPr>
        <w:overflowPunct w:val="0"/>
        <w:autoSpaceDE w:val="0"/>
        <w:autoSpaceDN w:val="0"/>
        <w:adjustRightInd w:val="0"/>
        <w:spacing w:after="120" w:line="240" w:lineRule="auto"/>
        <w:jc w:val="both"/>
        <w:textAlignment w:val="baseline"/>
        <w:rPr>
          <w:rFonts w:eastAsia="Times New Roman" w:cstheme="minorHAnsi"/>
          <w:lang w:val="sl-SI"/>
        </w:rPr>
      </w:pPr>
      <w:r w:rsidRPr="00487CD3">
        <w:rPr>
          <w:rFonts w:eastAsia="Times New Roman" w:cstheme="minorHAnsi"/>
          <w:lang w:val="sl-SI"/>
        </w:rPr>
        <w:t>rashodi za dodatna ulaganja na nefinancijskoj imovini su ostvareni u iznosu od 324.979,40 EUR te se odnose na dodatna ulaganja za ostalu nefinancijsku imovinu (nadogradnja aplikacije za evidenciju radnog vremena, web portala HAKOM-a, sustava Cisco ISE Plus, sustava zaštite web aplikacije, sustava za sigurnosnu pohranu podataka, HRNet-a, SAT-a, Centrixa, e-Dozvola, e-Operatora, Navisiona, Business Centrala i dr.) i dodatna ulaganja na opremi (nadogradnja mikrovalne veze, videokonferencijske opreme, sustava neprekidnog napajanja, sustava oporavka od katastrofe, sustava vatrozida i diskovnog sustava).</w:t>
      </w:r>
    </w:p>
    <w:p w14:paraId="628ABCAC" w14:textId="0FA9FBE7" w:rsidR="00437A6B" w:rsidRPr="004A6E08" w:rsidRDefault="00437A6B" w:rsidP="00437A6B">
      <w:pPr>
        <w:overflowPunct w:val="0"/>
        <w:autoSpaceDE w:val="0"/>
        <w:autoSpaceDN w:val="0"/>
        <w:adjustRightInd w:val="0"/>
        <w:spacing w:after="120" w:line="240" w:lineRule="auto"/>
        <w:jc w:val="both"/>
        <w:textAlignment w:val="baseline"/>
        <w:rPr>
          <w:rFonts w:eastAsia="Times New Roman" w:cstheme="minorHAnsi"/>
          <w:lang w:val="sl-SI"/>
        </w:rPr>
      </w:pPr>
    </w:p>
    <w:p w14:paraId="7F74EEA5" w14:textId="77777777" w:rsidR="00437A6B" w:rsidRPr="004A6E08" w:rsidRDefault="00437A6B" w:rsidP="00437A6B">
      <w:pPr>
        <w:keepNext/>
        <w:keepLines/>
        <w:overflowPunct w:val="0"/>
        <w:autoSpaceDE w:val="0"/>
        <w:autoSpaceDN w:val="0"/>
        <w:adjustRightInd w:val="0"/>
        <w:spacing w:after="120" w:line="240" w:lineRule="auto"/>
        <w:textAlignment w:val="baseline"/>
        <w:outlineLvl w:val="7"/>
        <w:rPr>
          <w:rFonts w:eastAsia="Times New Roman" w:cstheme="minorHAnsi"/>
          <w:b/>
          <w:lang w:val="sl-SI"/>
        </w:rPr>
      </w:pPr>
      <w:r w:rsidRPr="004A6E08">
        <w:rPr>
          <w:rFonts w:eastAsia="Times New Roman" w:cstheme="minorHAnsi"/>
          <w:b/>
          <w:lang w:val="sl-SI"/>
        </w:rPr>
        <w:t>Pokazatelji rezultata</w:t>
      </w:r>
    </w:p>
    <w:tbl>
      <w:tblPr>
        <w:tblStyle w:val="StilTablice3"/>
        <w:tblW w:w="10206" w:type="dxa"/>
        <w:jc w:val="center"/>
        <w:tblLook w:val="04A0" w:firstRow="1" w:lastRow="0" w:firstColumn="1" w:lastColumn="0" w:noHBand="0" w:noVBand="1"/>
      </w:tblPr>
      <w:tblGrid>
        <w:gridCol w:w="2293"/>
        <w:gridCol w:w="2252"/>
        <w:gridCol w:w="953"/>
        <w:gridCol w:w="1010"/>
        <w:gridCol w:w="1656"/>
        <w:gridCol w:w="1010"/>
        <w:gridCol w:w="1032"/>
      </w:tblGrid>
      <w:tr w:rsidR="005658F6" w:rsidRPr="004A6E08" w14:paraId="57C3331A" w14:textId="77777777" w:rsidTr="007F0958">
        <w:trPr>
          <w:jc w:val="center"/>
        </w:trPr>
        <w:tc>
          <w:tcPr>
            <w:tcW w:w="2319" w:type="dxa"/>
            <w:shd w:val="clear" w:color="auto" w:fill="B5C0D8"/>
          </w:tcPr>
          <w:p w14:paraId="54997472"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sz w:val="22"/>
                <w:lang w:val="sl-SI"/>
              </w:rPr>
            </w:pPr>
            <w:r w:rsidRPr="004A6E08">
              <w:rPr>
                <w:rFonts w:asciiTheme="minorHAnsi" w:eastAsia="Times New Roman" w:hAnsiTheme="minorHAnsi" w:cstheme="minorHAnsi"/>
                <w:sz w:val="22"/>
                <w:lang w:val="sl-SI"/>
              </w:rPr>
              <w:t>Pokazatelj rezultata</w:t>
            </w:r>
          </w:p>
        </w:tc>
        <w:tc>
          <w:tcPr>
            <w:tcW w:w="2278" w:type="dxa"/>
            <w:shd w:val="clear" w:color="auto" w:fill="B5C0D8"/>
          </w:tcPr>
          <w:p w14:paraId="1E151FB2"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Definicija</w:t>
            </w:r>
          </w:p>
        </w:tc>
        <w:tc>
          <w:tcPr>
            <w:tcW w:w="957" w:type="dxa"/>
            <w:shd w:val="clear" w:color="auto" w:fill="B5C0D8"/>
          </w:tcPr>
          <w:p w14:paraId="2B6DA0D2"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Jedinica</w:t>
            </w:r>
          </w:p>
        </w:tc>
        <w:tc>
          <w:tcPr>
            <w:tcW w:w="993" w:type="dxa"/>
            <w:shd w:val="clear" w:color="auto" w:fill="B5C0D8"/>
          </w:tcPr>
          <w:p w14:paraId="27BF51C3"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Polazna vrijednost</w:t>
            </w:r>
          </w:p>
        </w:tc>
        <w:tc>
          <w:tcPr>
            <w:tcW w:w="1670" w:type="dxa"/>
            <w:shd w:val="clear" w:color="auto" w:fill="B5C0D8"/>
          </w:tcPr>
          <w:p w14:paraId="71B06587"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Izvor podataka</w:t>
            </w:r>
          </w:p>
        </w:tc>
        <w:tc>
          <w:tcPr>
            <w:tcW w:w="993" w:type="dxa"/>
            <w:shd w:val="clear" w:color="auto" w:fill="B5C0D8"/>
          </w:tcPr>
          <w:p w14:paraId="1733D505"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Ciljana vrijednost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c>
          <w:tcPr>
            <w:tcW w:w="996" w:type="dxa"/>
            <w:shd w:val="clear" w:color="auto" w:fill="B5C0D8"/>
          </w:tcPr>
          <w:p w14:paraId="3A7FE6B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Ostvarena vrijednost (202</w:t>
            </w:r>
            <w:r>
              <w:rPr>
                <w:rFonts w:asciiTheme="minorHAnsi" w:eastAsia="Times New Roman" w:hAnsiTheme="minorHAnsi" w:cstheme="minorHAnsi"/>
                <w:bCs/>
                <w:sz w:val="22"/>
                <w:lang w:val="sl-SI" w:eastAsia="hr-HR"/>
              </w:rPr>
              <w:t>4</w:t>
            </w:r>
            <w:r w:rsidRPr="004A6E08">
              <w:rPr>
                <w:rFonts w:asciiTheme="minorHAnsi" w:eastAsia="Times New Roman" w:hAnsiTheme="minorHAnsi" w:cstheme="minorHAnsi"/>
                <w:bCs/>
                <w:sz w:val="22"/>
                <w:lang w:val="sl-SI" w:eastAsia="hr-HR"/>
              </w:rPr>
              <w:t>.)</w:t>
            </w:r>
          </w:p>
        </w:tc>
      </w:tr>
      <w:tr w:rsidR="005658F6" w:rsidRPr="004A6E08" w14:paraId="5DC92676" w14:textId="77777777" w:rsidTr="007F0958">
        <w:trPr>
          <w:jc w:val="center"/>
        </w:trPr>
        <w:tc>
          <w:tcPr>
            <w:tcW w:w="2319" w:type="dxa"/>
          </w:tcPr>
          <w:p w14:paraId="768C5BDC"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t xml:space="preserve"> </w:t>
            </w:r>
            <w:r w:rsidRPr="00D23177">
              <w:rPr>
                <w:rFonts w:asciiTheme="minorHAnsi" w:eastAsia="Times New Roman" w:hAnsiTheme="minorHAnsi" w:cstheme="minorHAnsi"/>
                <w:bCs/>
                <w:color w:val="000000"/>
                <w:sz w:val="22"/>
                <w:lang w:val="sl-SI" w:eastAsia="hr-HR"/>
              </w:rPr>
              <w:t>Korištenje veleprodajnih usluga na VHCN infrastrukturi</w:t>
            </w:r>
          </w:p>
        </w:tc>
        <w:tc>
          <w:tcPr>
            <w:tcW w:w="2278" w:type="dxa"/>
          </w:tcPr>
          <w:p w14:paraId="01AD0AF3" w14:textId="77777777" w:rsidR="005658F6"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p>
          <w:p w14:paraId="6689C1D9" w14:textId="77777777" w:rsidR="005658F6" w:rsidRPr="002C4249"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2C4249">
              <w:rPr>
                <w:rFonts w:asciiTheme="minorHAnsi" w:hAnsiTheme="minorHAnsi" w:cstheme="minorHAnsi"/>
                <w:sz w:val="22"/>
              </w:rPr>
              <w:t>Udio VHCN korisnika realiziranih putem veleprodajnih usluga u ukupnom broju VHCN korisnika</w:t>
            </w:r>
          </w:p>
        </w:tc>
        <w:tc>
          <w:tcPr>
            <w:tcW w:w="957" w:type="dxa"/>
          </w:tcPr>
          <w:p w14:paraId="4DDE9D2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4A6E08">
              <w:rPr>
                <w:rFonts w:asciiTheme="minorHAnsi" w:eastAsia="Times New Roman" w:hAnsiTheme="minorHAnsi" w:cstheme="minorHAnsi"/>
                <w:bCs/>
                <w:color w:val="000000"/>
                <w:sz w:val="22"/>
                <w:lang w:val="sl-SI" w:eastAsia="hr-HR"/>
              </w:rPr>
              <w:t>%</w:t>
            </w:r>
          </w:p>
        </w:tc>
        <w:tc>
          <w:tcPr>
            <w:tcW w:w="993" w:type="dxa"/>
          </w:tcPr>
          <w:p w14:paraId="70404459"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Pr>
                <w:rFonts w:asciiTheme="minorHAnsi" w:eastAsia="Times New Roman" w:hAnsiTheme="minorHAnsi" w:cstheme="minorHAnsi"/>
                <w:bCs/>
                <w:color w:val="000000"/>
                <w:sz w:val="22"/>
                <w:lang w:val="sl-SI" w:eastAsia="hr-HR"/>
              </w:rPr>
              <w:t>9,26</w:t>
            </w:r>
          </w:p>
        </w:tc>
        <w:tc>
          <w:tcPr>
            <w:tcW w:w="1670" w:type="dxa"/>
          </w:tcPr>
          <w:p w14:paraId="6C8B0057"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sidRPr="004A6E08">
              <w:rPr>
                <w:rFonts w:asciiTheme="minorHAnsi" w:eastAsia="Times New Roman" w:hAnsiTheme="minorHAnsi" w:cstheme="minorHAnsi"/>
                <w:bCs/>
                <w:color w:val="000000"/>
                <w:sz w:val="22"/>
                <w:lang w:val="sl-SI" w:eastAsia="hr-HR"/>
              </w:rPr>
              <w:t>Hrvatska regulatorna agencija za mrežne djelatnosti</w:t>
            </w:r>
          </w:p>
        </w:tc>
        <w:tc>
          <w:tcPr>
            <w:tcW w:w="993" w:type="dxa"/>
          </w:tcPr>
          <w:p w14:paraId="2B990D1B"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color w:val="000000"/>
                <w:sz w:val="22"/>
                <w:lang w:val="sl-SI" w:eastAsia="hr-HR"/>
              </w:rPr>
            </w:pPr>
            <w:r>
              <w:rPr>
                <w:rFonts w:asciiTheme="minorHAnsi" w:eastAsia="Times New Roman" w:hAnsiTheme="minorHAnsi" w:cstheme="minorHAnsi"/>
                <w:bCs/>
                <w:color w:val="000000"/>
                <w:sz w:val="22"/>
                <w:lang w:val="sl-SI" w:eastAsia="hr-HR"/>
              </w:rPr>
              <w:t>15</w:t>
            </w:r>
          </w:p>
        </w:tc>
        <w:tc>
          <w:tcPr>
            <w:tcW w:w="996" w:type="dxa"/>
          </w:tcPr>
          <w:p w14:paraId="29989642"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color w:val="000000"/>
                <w:sz w:val="22"/>
                <w:lang w:val="sl-SI"/>
              </w:rPr>
            </w:pPr>
            <w:r w:rsidRPr="0036632F">
              <w:rPr>
                <w:rFonts w:asciiTheme="minorHAnsi" w:eastAsia="Times New Roman" w:hAnsiTheme="minorHAnsi" w:cstheme="minorHAnsi"/>
                <w:bCs/>
                <w:sz w:val="22"/>
                <w:lang w:val="sl-SI" w:eastAsia="hr-HR"/>
              </w:rPr>
              <w:t>1</w:t>
            </w:r>
            <w:r>
              <w:rPr>
                <w:rFonts w:asciiTheme="minorHAnsi" w:eastAsia="Times New Roman" w:hAnsiTheme="minorHAnsi" w:cstheme="minorHAnsi"/>
                <w:bCs/>
                <w:sz w:val="22"/>
                <w:lang w:val="sl-SI" w:eastAsia="hr-HR"/>
              </w:rPr>
              <w:t>5</w:t>
            </w:r>
            <w:r w:rsidRPr="0036632F">
              <w:rPr>
                <w:rFonts w:asciiTheme="minorHAnsi" w:eastAsia="Times New Roman" w:hAnsiTheme="minorHAnsi" w:cstheme="minorHAnsi"/>
                <w:bCs/>
                <w:sz w:val="22"/>
                <w:lang w:val="sl-SI" w:eastAsia="hr-HR"/>
              </w:rPr>
              <w:t>,</w:t>
            </w:r>
            <w:r>
              <w:rPr>
                <w:rFonts w:asciiTheme="minorHAnsi" w:eastAsia="Times New Roman" w:hAnsiTheme="minorHAnsi" w:cstheme="minorHAnsi"/>
                <w:bCs/>
                <w:sz w:val="22"/>
                <w:lang w:val="sl-SI" w:eastAsia="hr-HR"/>
              </w:rPr>
              <w:t>91</w:t>
            </w:r>
          </w:p>
        </w:tc>
      </w:tr>
      <w:tr w:rsidR="005658F6" w:rsidRPr="004A6E08" w14:paraId="35EFBDDB" w14:textId="77777777" w:rsidTr="007F0958">
        <w:trPr>
          <w:jc w:val="center"/>
        </w:trPr>
        <w:tc>
          <w:tcPr>
            <w:tcW w:w="2319" w:type="dxa"/>
          </w:tcPr>
          <w:p w14:paraId="08D55776"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Minimalni broj redovnih poštanskih ureda davatelja univerzalne usluge</w:t>
            </w:r>
          </w:p>
        </w:tc>
        <w:tc>
          <w:tcPr>
            <w:tcW w:w="2278" w:type="dxa"/>
          </w:tcPr>
          <w:p w14:paraId="7B88EE21"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Osiguranje održivosti i učinkovitosti obavljanja univerzalne usluge uz odgovarajuću kvalitetu i razvijeno tržište poštanskih usluga</w:t>
            </w:r>
          </w:p>
        </w:tc>
        <w:tc>
          <w:tcPr>
            <w:tcW w:w="957" w:type="dxa"/>
          </w:tcPr>
          <w:p w14:paraId="4F2464E5"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broj</w:t>
            </w:r>
          </w:p>
        </w:tc>
        <w:tc>
          <w:tcPr>
            <w:tcW w:w="993" w:type="dxa"/>
          </w:tcPr>
          <w:p w14:paraId="423F773D"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700</w:t>
            </w:r>
          </w:p>
        </w:tc>
        <w:tc>
          <w:tcPr>
            <w:tcW w:w="1670" w:type="dxa"/>
          </w:tcPr>
          <w:p w14:paraId="17CE3508"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Hrvatska regulatorna agencija za mrežne djelatnosti</w:t>
            </w:r>
          </w:p>
        </w:tc>
        <w:tc>
          <w:tcPr>
            <w:tcW w:w="993" w:type="dxa"/>
          </w:tcPr>
          <w:p w14:paraId="5CD52D86"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bCs/>
                <w:sz w:val="22"/>
                <w:lang w:val="sl-SI" w:eastAsia="hr-HR"/>
              </w:rPr>
            </w:pPr>
            <w:r w:rsidRPr="004A6E08">
              <w:rPr>
                <w:rFonts w:asciiTheme="minorHAnsi" w:eastAsia="Times New Roman" w:hAnsiTheme="minorHAnsi" w:cstheme="minorHAnsi"/>
                <w:bCs/>
                <w:sz w:val="22"/>
                <w:lang w:val="sl-SI" w:eastAsia="hr-HR"/>
              </w:rPr>
              <w:t>700</w:t>
            </w:r>
          </w:p>
        </w:tc>
        <w:tc>
          <w:tcPr>
            <w:tcW w:w="996" w:type="dxa"/>
          </w:tcPr>
          <w:p w14:paraId="794061AA" w14:textId="77777777" w:rsidR="005658F6" w:rsidRPr="004A6E08" w:rsidRDefault="005658F6" w:rsidP="007F0958">
            <w:pPr>
              <w:overflowPunct w:val="0"/>
              <w:autoSpaceDE w:val="0"/>
              <w:autoSpaceDN w:val="0"/>
              <w:adjustRightInd w:val="0"/>
              <w:textAlignment w:val="baseline"/>
              <w:rPr>
                <w:rFonts w:asciiTheme="minorHAnsi" w:eastAsia="Times New Roman" w:hAnsiTheme="minorHAnsi" w:cstheme="minorHAnsi"/>
                <w:sz w:val="22"/>
                <w:lang w:val="sl-SI"/>
              </w:rPr>
            </w:pPr>
            <w:r w:rsidRPr="004A6E08">
              <w:rPr>
                <w:rFonts w:asciiTheme="minorHAnsi" w:eastAsia="Times New Roman" w:hAnsiTheme="minorHAnsi" w:cstheme="minorHAnsi"/>
                <w:sz w:val="22"/>
                <w:lang w:val="sl-SI"/>
              </w:rPr>
              <w:t>700</w:t>
            </w:r>
          </w:p>
        </w:tc>
      </w:tr>
    </w:tbl>
    <w:p w14:paraId="7CD02C4B" w14:textId="77777777" w:rsidR="00456B8A" w:rsidRPr="004A6E08" w:rsidRDefault="00456B8A" w:rsidP="00456B8A">
      <w:pPr>
        <w:rPr>
          <w:rFonts w:cstheme="minorHAnsi"/>
          <w:lang w:eastAsia="hr-HR"/>
        </w:rPr>
      </w:pPr>
    </w:p>
    <w:p w14:paraId="736EB783" w14:textId="12F5D2F0" w:rsidR="00120105" w:rsidRDefault="00120105">
      <w:pPr>
        <w:rPr>
          <w:rFonts w:cstheme="minorHAnsi"/>
          <w:lang w:eastAsia="hr-HR"/>
        </w:rPr>
      </w:pPr>
      <w:r>
        <w:rPr>
          <w:rFonts w:cstheme="minorHAnsi"/>
          <w:lang w:eastAsia="hr-HR"/>
        </w:rPr>
        <w:br w:type="page"/>
      </w:r>
    </w:p>
    <w:p w14:paraId="4AA00619" w14:textId="77777777" w:rsidR="00875B5E" w:rsidRPr="00B6133C" w:rsidRDefault="00875B5E" w:rsidP="00875B5E">
      <w:pPr>
        <w:pStyle w:val="Heading1"/>
        <w:numPr>
          <w:ilvl w:val="0"/>
          <w:numId w:val="25"/>
        </w:numPr>
        <w:rPr>
          <w:rFonts w:asciiTheme="minorHAnsi" w:hAnsiTheme="minorHAnsi" w:cstheme="minorHAnsi"/>
          <w:color w:val="2E74B5" w:themeColor="accent1" w:themeShade="BF"/>
          <w:szCs w:val="24"/>
        </w:rPr>
      </w:pPr>
      <w:bookmarkStart w:id="16" w:name="_Toc193802955"/>
      <w:r w:rsidRPr="00B6133C">
        <w:rPr>
          <w:rFonts w:asciiTheme="minorHAnsi" w:hAnsiTheme="minorHAnsi" w:cstheme="minorHAnsi"/>
          <w:color w:val="2E74B5" w:themeColor="accent1" w:themeShade="BF"/>
          <w:szCs w:val="24"/>
        </w:rPr>
        <w:lastRenderedPageBreak/>
        <w:t>Posebni izvještaji</w:t>
      </w:r>
      <w:bookmarkEnd w:id="16"/>
      <w:r w:rsidRPr="00B6133C">
        <w:rPr>
          <w:rFonts w:asciiTheme="minorHAnsi" w:hAnsiTheme="minorHAnsi" w:cstheme="minorHAnsi"/>
          <w:color w:val="2E74B5" w:themeColor="accent1" w:themeShade="BF"/>
          <w:szCs w:val="24"/>
        </w:rPr>
        <w:t xml:space="preserve"> </w:t>
      </w:r>
    </w:p>
    <w:p w14:paraId="7816C68B" w14:textId="77777777" w:rsidR="00875B5E" w:rsidRPr="004A6E08" w:rsidRDefault="00875B5E" w:rsidP="00875B5E">
      <w:pPr>
        <w:rPr>
          <w:rFonts w:cstheme="minorHAnsi"/>
          <w:lang w:eastAsia="hr-HR"/>
        </w:rPr>
      </w:pPr>
    </w:p>
    <w:p w14:paraId="1CCBBE0E" w14:textId="77777777" w:rsidR="00875B5E" w:rsidRPr="004A6E08" w:rsidRDefault="00875B5E" w:rsidP="00875B5E">
      <w:pPr>
        <w:pStyle w:val="Heading2"/>
        <w:numPr>
          <w:ilvl w:val="1"/>
          <w:numId w:val="25"/>
        </w:numPr>
        <w:spacing w:before="80" w:line="240" w:lineRule="auto"/>
        <w:rPr>
          <w:rFonts w:asciiTheme="minorHAnsi" w:hAnsiTheme="minorHAnsi" w:cstheme="minorHAnsi"/>
          <w:b/>
          <w:sz w:val="22"/>
          <w:szCs w:val="22"/>
        </w:rPr>
      </w:pPr>
      <w:bookmarkStart w:id="17" w:name="_Toc193802956"/>
      <w:r w:rsidRPr="004A6E08">
        <w:rPr>
          <w:rFonts w:asciiTheme="minorHAnsi" w:hAnsiTheme="minorHAnsi" w:cstheme="minorHAnsi"/>
          <w:b/>
          <w:sz w:val="22"/>
          <w:szCs w:val="22"/>
        </w:rPr>
        <w:t>Izvještaj o zaduživanju na domaćem i stranom tržištu novca i kapitala</w:t>
      </w:r>
      <w:bookmarkEnd w:id="17"/>
    </w:p>
    <w:p w14:paraId="4F46E6CB" w14:textId="77777777" w:rsidR="00875B5E" w:rsidRPr="004A6E08" w:rsidRDefault="00875B5E" w:rsidP="00875B5E">
      <w:pPr>
        <w:rPr>
          <w:rFonts w:cstheme="minorHAnsi"/>
          <w:lang w:eastAsia="hr-HR"/>
        </w:rPr>
      </w:pPr>
    </w:p>
    <w:p w14:paraId="6E10CD10" w14:textId="6CC7BF3F" w:rsidR="00875B5E" w:rsidRDefault="00875B5E" w:rsidP="00875B5E">
      <w:pPr>
        <w:rPr>
          <w:rFonts w:cstheme="minorHAnsi"/>
          <w:lang w:eastAsia="hr-HR"/>
        </w:rPr>
      </w:pPr>
      <w:r w:rsidRPr="004A6E08">
        <w:rPr>
          <w:rFonts w:cstheme="minorHAnsi"/>
          <w:lang w:eastAsia="hr-HR"/>
        </w:rPr>
        <w:t>U 202</w:t>
      </w:r>
      <w:r w:rsidR="0098716C">
        <w:rPr>
          <w:rFonts w:cstheme="minorHAnsi"/>
          <w:lang w:eastAsia="hr-HR"/>
        </w:rPr>
        <w:t>4</w:t>
      </w:r>
      <w:r w:rsidRPr="004A6E08">
        <w:rPr>
          <w:rFonts w:cstheme="minorHAnsi"/>
          <w:lang w:eastAsia="hr-HR"/>
        </w:rPr>
        <w:t xml:space="preserve">. godini HAKOM nema </w:t>
      </w:r>
      <w:r>
        <w:rPr>
          <w:rFonts w:cstheme="minorHAnsi"/>
          <w:lang w:eastAsia="hr-HR"/>
        </w:rPr>
        <w:t>zaduživanja na domaćem i stranom tržištu novca i kapitala.</w:t>
      </w:r>
    </w:p>
    <w:p w14:paraId="1597DE6B" w14:textId="77777777" w:rsidR="00875B5E" w:rsidRPr="004A6E08" w:rsidRDefault="00875B5E" w:rsidP="00875B5E">
      <w:pPr>
        <w:rPr>
          <w:rFonts w:cstheme="minorHAnsi"/>
          <w:lang w:eastAsia="hr-HR"/>
        </w:rPr>
      </w:pPr>
    </w:p>
    <w:p w14:paraId="7E3C6F3B" w14:textId="77777777" w:rsidR="00875B5E" w:rsidRDefault="00875B5E" w:rsidP="00875B5E">
      <w:pPr>
        <w:pStyle w:val="Heading2"/>
        <w:numPr>
          <w:ilvl w:val="1"/>
          <w:numId w:val="25"/>
        </w:numPr>
        <w:spacing w:before="80" w:line="240" w:lineRule="auto"/>
        <w:rPr>
          <w:rFonts w:asciiTheme="minorHAnsi" w:hAnsiTheme="minorHAnsi" w:cstheme="minorHAnsi"/>
          <w:b/>
          <w:sz w:val="22"/>
          <w:szCs w:val="22"/>
        </w:rPr>
      </w:pPr>
      <w:bookmarkStart w:id="18" w:name="_Toc193802957"/>
      <w:r w:rsidRPr="004A6E08">
        <w:rPr>
          <w:rFonts w:asciiTheme="minorHAnsi" w:hAnsiTheme="minorHAnsi" w:cstheme="minorHAnsi"/>
          <w:b/>
          <w:sz w:val="22"/>
          <w:szCs w:val="22"/>
        </w:rPr>
        <w:t>Izvještaj o korištenju sredstava fondova Europske unije</w:t>
      </w:r>
      <w:bookmarkEnd w:id="18"/>
    </w:p>
    <w:p w14:paraId="6F842BC2" w14:textId="77777777" w:rsidR="00875B5E" w:rsidRDefault="00875B5E" w:rsidP="00875B5E"/>
    <w:p w14:paraId="3C8F9F19" w14:textId="1E2A1E85" w:rsidR="00875B5E" w:rsidRPr="004A6E08" w:rsidRDefault="00875B5E" w:rsidP="00875B5E">
      <w:pPr>
        <w:rPr>
          <w:rFonts w:cstheme="minorHAnsi"/>
          <w:lang w:eastAsia="hr-HR"/>
        </w:rPr>
      </w:pPr>
      <w:r w:rsidRPr="004A6E08">
        <w:rPr>
          <w:rFonts w:cstheme="minorHAnsi"/>
          <w:lang w:eastAsia="hr-HR"/>
        </w:rPr>
        <w:t>U 202</w:t>
      </w:r>
      <w:r w:rsidR="0098716C">
        <w:rPr>
          <w:rFonts w:cstheme="minorHAnsi"/>
          <w:lang w:eastAsia="hr-HR"/>
        </w:rPr>
        <w:t>4</w:t>
      </w:r>
      <w:r w:rsidRPr="004A6E08">
        <w:rPr>
          <w:rFonts w:cstheme="minorHAnsi"/>
          <w:lang w:eastAsia="hr-HR"/>
        </w:rPr>
        <w:t xml:space="preserve">. godini HAKOM </w:t>
      </w:r>
      <w:r>
        <w:rPr>
          <w:rFonts w:cstheme="minorHAnsi"/>
          <w:lang w:eastAsia="hr-HR"/>
        </w:rPr>
        <w:t>nije koristio sredstva fondova Europske unije.</w:t>
      </w:r>
    </w:p>
    <w:p w14:paraId="6CD75207" w14:textId="77777777" w:rsidR="00875B5E" w:rsidRPr="004A6E08" w:rsidRDefault="00875B5E" w:rsidP="00875B5E">
      <w:pPr>
        <w:rPr>
          <w:rFonts w:cstheme="minorHAnsi"/>
          <w:lang w:eastAsia="hr-HR"/>
        </w:rPr>
      </w:pPr>
    </w:p>
    <w:p w14:paraId="1B72CF7B" w14:textId="77777777" w:rsidR="00875B5E" w:rsidRPr="004A6E08" w:rsidRDefault="00875B5E" w:rsidP="00875B5E">
      <w:pPr>
        <w:pStyle w:val="Heading2"/>
        <w:numPr>
          <w:ilvl w:val="1"/>
          <w:numId w:val="25"/>
        </w:numPr>
        <w:spacing w:before="80" w:line="240" w:lineRule="auto"/>
        <w:rPr>
          <w:rFonts w:asciiTheme="minorHAnsi" w:hAnsiTheme="minorHAnsi" w:cstheme="minorHAnsi"/>
          <w:b/>
          <w:sz w:val="22"/>
          <w:szCs w:val="22"/>
        </w:rPr>
      </w:pPr>
      <w:bookmarkStart w:id="19" w:name="_Toc193802958"/>
      <w:r w:rsidRPr="004A6E08">
        <w:rPr>
          <w:rFonts w:asciiTheme="minorHAnsi" w:hAnsiTheme="minorHAnsi" w:cstheme="minorHAnsi"/>
          <w:b/>
          <w:sz w:val="22"/>
          <w:szCs w:val="22"/>
        </w:rPr>
        <w:t>Izvještaj o danim zajmovima i potraživanjima po danim zajmovima</w:t>
      </w:r>
      <w:bookmarkEnd w:id="19"/>
    </w:p>
    <w:p w14:paraId="1E8E5BC1" w14:textId="77777777" w:rsidR="00875B5E" w:rsidRPr="004A6E08" w:rsidRDefault="00875B5E" w:rsidP="00875B5E">
      <w:pPr>
        <w:rPr>
          <w:rFonts w:cstheme="minorHAnsi"/>
          <w:lang w:eastAsia="hr-HR"/>
        </w:rPr>
      </w:pPr>
    </w:p>
    <w:p w14:paraId="5662CC2F" w14:textId="38B4210F" w:rsidR="00875B5E" w:rsidRPr="004A6E08" w:rsidRDefault="00875B5E" w:rsidP="00875B5E">
      <w:pPr>
        <w:rPr>
          <w:rFonts w:cstheme="minorHAnsi"/>
          <w:lang w:eastAsia="hr-HR"/>
        </w:rPr>
      </w:pPr>
      <w:r w:rsidRPr="004A6E08">
        <w:rPr>
          <w:rFonts w:cstheme="minorHAnsi"/>
          <w:lang w:eastAsia="hr-HR"/>
        </w:rPr>
        <w:t>U 202</w:t>
      </w:r>
      <w:r w:rsidR="0098716C">
        <w:rPr>
          <w:rFonts w:cstheme="minorHAnsi"/>
          <w:lang w:eastAsia="hr-HR"/>
        </w:rPr>
        <w:t>4</w:t>
      </w:r>
      <w:r w:rsidRPr="004A6E08">
        <w:rPr>
          <w:rFonts w:cstheme="minorHAnsi"/>
          <w:lang w:eastAsia="hr-HR"/>
        </w:rPr>
        <w:t>. godini HAKOM nema danih zajmova niti ima otvorenih potraživanja po osnovi zajmova.</w:t>
      </w:r>
    </w:p>
    <w:p w14:paraId="27401572" w14:textId="77777777" w:rsidR="00875B5E" w:rsidRPr="004A6E08" w:rsidRDefault="00875B5E" w:rsidP="00875B5E">
      <w:pPr>
        <w:rPr>
          <w:rFonts w:cstheme="minorHAnsi"/>
          <w:color w:val="2E74B5" w:themeColor="accent1" w:themeShade="BF"/>
          <w:lang w:eastAsia="hr-HR"/>
        </w:rPr>
      </w:pPr>
    </w:p>
    <w:p w14:paraId="60837F3E" w14:textId="77777777" w:rsidR="00875B5E" w:rsidRPr="009359E2" w:rsidRDefault="00875B5E" w:rsidP="00875B5E">
      <w:pPr>
        <w:pStyle w:val="Heading2"/>
        <w:numPr>
          <w:ilvl w:val="1"/>
          <w:numId w:val="25"/>
        </w:numPr>
        <w:spacing w:before="80" w:line="240" w:lineRule="auto"/>
        <w:rPr>
          <w:rFonts w:asciiTheme="minorHAnsi" w:hAnsiTheme="minorHAnsi" w:cstheme="minorHAnsi"/>
          <w:b/>
          <w:sz w:val="22"/>
          <w:szCs w:val="22"/>
        </w:rPr>
      </w:pPr>
      <w:bookmarkStart w:id="20" w:name="_Toc193802959"/>
      <w:r w:rsidRPr="009359E2">
        <w:rPr>
          <w:rFonts w:asciiTheme="minorHAnsi" w:hAnsiTheme="minorHAnsi" w:cstheme="minorHAnsi"/>
          <w:b/>
          <w:sz w:val="22"/>
          <w:szCs w:val="22"/>
        </w:rPr>
        <w:t>Izvještaj o stanju potraživanja i dospjelih obveza te o stanju potencijalnih obveza po osnovi sudskih sporova</w:t>
      </w:r>
      <w:bookmarkEnd w:id="20"/>
    </w:p>
    <w:p w14:paraId="2FB55CA5" w14:textId="77777777" w:rsidR="00875B5E" w:rsidRPr="009359E2" w:rsidRDefault="00875B5E" w:rsidP="00875B5E">
      <w:pPr>
        <w:rPr>
          <w:rFonts w:cstheme="minorHAnsi"/>
        </w:rPr>
      </w:pPr>
    </w:p>
    <w:tbl>
      <w:tblPr>
        <w:tblStyle w:val="TableGrid3"/>
        <w:tblW w:w="0" w:type="auto"/>
        <w:tblLook w:val="04A0" w:firstRow="1" w:lastRow="0" w:firstColumn="1" w:lastColumn="0" w:noHBand="0" w:noVBand="1"/>
      </w:tblPr>
      <w:tblGrid>
        <w:gridCol w:w="4569"/>
        <w:gridCol w:w="1945"/>
      </w:tblGrid>
      <w:tr w:rsidR="00875B5E" w:rsidRPr="009359E2" w14:paraId="2F98E96B" w14:textId="77777777" w:rsidTr="00FF3814">
        <w:tc>
          <w:tcPr>
            <w:tcW w:w="4569" w:type="dxa"/>
          </w:tcPr>
          <w:p w14:paraId="5BAFE7BA" w14:textId="77777777" w:rsidR="00875B5E" w:rsidRPr="009359E2" w:rsidRDefault="00875B5E" w:rsidP="00E32592">
            <w:pPr>
              <w:spacing w:after="160" w:line="259" w:lineRule="auto"/>
              <w:jc w:val="center"/>
              <w:rPr>
                <w:rFonts w:cstheme="minorHAnsi"/>
                <w:b/>
                <w:lang w:eastAsia="hr-HR"/>
              </w:rPr>
            </w:pPr>
            <w:r w:rsidRPr="009359E2">
              <w:rPr>
                <w:rFonts w:cstheme="minorHAnsi"/>
                <w:b/>
                <w:lang w:eastAsia="hr-HR"/>
              </w:rPr>
              <w:t>OPIS</w:t>
            </w:r>
          </w:p>
        </w:tc>
        <w:tc>
          <w:tcPr>
            <w:tcW w:w="1945" w:type="dxa"/>
          </w:tcPr>
          <w:p w14:paraId="0659B6D8" w14:textId="12F7054C" w:rsidR="00875B5E" w:rsidRPr="009359E2" w:rsidRDefault="00875B5E" w:rsidP="00E32592">
            <w:pPr>
              <w:spacing w:after="160" w:line="259" w:lineRule="auto"/>
              <w:jc w:val="center"/>
              <w:rPr>
                <w:rFonts w:cstheme="minorHAnsi"/>
                <w:b/>
                <w:lang w:eastAsia="hr-HR"/>
              </w:rPr>
            </w:pPr>
            <w:r w:rsidRPr="009359E2">
              <w:rPr>
                <w:rFonts w:cstheme="minorHAnsi"/>
                <w:b/>
                <w:lang w:eastAsia="hr-HR"/>
              </w:rPr>
              <w:t>STANJE NA</w:t>
            </w:r>
          </w:p>
          <w:p w14:paraId="3AC84201" w14:textId="4335A459" w:rsidR="00875B5E" w:rsidRPr="009359E2" w:rsidRDefault="00875B5E" w:rsidP="00E32592">
            <w:pPr>
              <w:spacing w:after="160" w:line="259" w:lineRule="auto"/>
              <w:jc w:val="center"/>
              <w:rPr>
                <w:rFonts w:cstheme="minorHAnsi"/>
                <w:b/>
                <w:lang w:eastAsia="hr-HR"/>
              </w:rPr>
            </w:pPr>
            <w:r w:rsidRPr="009359E2">
              <w:rPr>
                <w:rFonts w:cstheme="minorHAnsi"/>
                <w:b/>
                <w:lang w:eastAsia="hr-HR"/>
              </w:rPr>
              <w:t>31.12.202</w:t>
            </w:r>
            <w:r w:rsidR="009359E2" w:rsidRPr="009359E2">
              <w:rPr>
                <w:rFonts w:cstheme="minorHAnsi"/>
                <w:b/>
                <w:lang w:eastAsia="hr-HR"/>
              </w:rPr>
              <w:t>4</w:t>
            </w:r>
            <w:r w:rsidRPr="009359E2">
              <w:rPr>
                <w:rFonts w:cstheme="minorHAnsi"/>
                <w:b/>
                <w:lang w:eastAsia="hr-HR"/>
              </w:rPr>
              <w:t>.</w:t>
            </w:r>
          </w:p>
        </w:tc>
      </w:tr>
      <w:tr w:rsidR="00875B5E" w:rsidRPr="009359E2" w14:paraId="0DB89133" w14:textId="77777777" w:rsidTr="00FF3814">
        <w:tc>
          <w:tcPr>
            <w:tcW w:w="4569" w:type="dxa"/>
          </w:tcPr>
          <w:p w14:paraId="183F8B89" w14:textId="77777777" w:rsidR="00875B5E" w:rsidRPr="009359E2" w:rsidRDefault="00875B5E" w:rsidP="00FF3814">
            <w:pPr>
              <w:spacing w:after="160" w:line="259" w:lineRule="auto"/>
              <w:rPr>
                <w:rFonts w:cstheme="minorHAnsi"/>
                <w:lang w:eastAsia="hr-HR"/>
              </w:rPr>
            </w:pPr>
            <w:r w:rsidRPr="009359E2">
              <w:rPr>
                <w:rFonts w:cstheme="minorHAnsi"/>
                <w:lang w:eastAsia="hr-HR"/>
              </w:rPr>
              <w:t>Nenaplaćenih potraživanja</w:t>
            </w:r>
          </w:p>
        </w:tc>
        <w:tc>
          <w:tcPr>
            <w:tcW w:w="1945" w:type="dxa"/>
          </w:tcPr>
          <w:p w14:paraId="58D8BC31" w14:textId="0DDBE402" w:rsidR="00875B5E" w:rsidRPr="009359E2" w:rsidRDefault="009359E2" w:rsidP="00FF3814">
            <w:pPr>
              <w:spacing w:after="160" w:line="259" w:lineRule="auto"/>
              <w:rPr>
                <w:rFonts w:cstheme="minorHAnsi"/>
                <w:lang w:eastAsia="hr-HR"/>
              </w:rPr>
            </w:pPr>
            <w:r w:rsidRPr="009359E2">
              <w:rPr>
                <w:rFonts w:cstheme="minorHAnsi"/>
              </w:rPr>
              <w:t>4.778.998,63</w:t>
            </w:r>
            <w:r w:rsidR="00875B5E" w:rsidRPr="009359E2">
              <w:rPr>
                <w:rFonts w:cstheme="minorHAnsi"/>
              </w:rPr>
              <w:t xml:space="preserve"> EUR</w:t>
            </w:r>
          </w:p>
        </w:tc>
      </w:tr>
      <w:tr w:rsidR="00875B5E" w:rsidRPr="009359E2" w14:paraId="57E994E0" w14:textId="77777777" w:rsidTr="00FF3814">
        <w:tc>
          <w:tcPr>
            <w:tcW w:w="4569" w:type="dxa"/>
          </w:tcPr>
          <w:p w14:paraId="7CA70C7E" w14:textId="77777777" w:rsidR="00875B5E" w:rsidRPr="009359E2" w:rsidRDefault="00875B5E" w:rsidP="00FF3814">
            <w:pPr>
              <w:spacing w:after="160" w:line="259" w:lineRule="auto"/>
              <w:rPr>
                <w:rFonts w:cstheme="minorHAnsi"/>
                <w:lang w:eastAsia="hr-HR"/>
              </w:rPr>
            </w:pPr>
            <w:r w:rsidRPr="009359E2">
              <w:rPr>
                <w:rFonts w:cstheme="minorHAnsi"/>
                <w:lang w:eastAsia="hr-HR"/>
              </w:rPr>
              <w:t>Dospjelih obveza</w:t>
            </w:r>
          </w:p>
        </w:tc>
        <w:tc>
          <w:tcPr>
            <w:tcW w:w="1945" w:type="dxa"/>
          </w:tcPr>
          <w:p w14:paraId="2F973C1B" w14:textId="77777777" w:rsidR="00875B5E" w:rsidRPr="009359E2" w:rsidRDefault="00875B5E" w:rsidP="00FF3814">
            <w:pPr>
              <w:spacing w:after="160" w:line="259" w:lineRule="auto"/>
              <w:rPr>
                <w:rFonts w:cstheme="minorHAnsi"/>
                <w:lang w:eastAsia="hr-HR"/>
              </w:rPr>
            </w:pPr>
            <w:r w:rsidRPr="009359E2">
              <w:rPr>
                <w:rFonts w:cstheme="minorHAnsi"/>
                <w:lang w:eastAsia="hr-HR"/>
              </w:rPr>
              <w:t xml:space="preserve">                0,00 EUR</w:t>
            </w:r>
          </w:p>
        </w:tc>
      </w:tr>
      <w:tr w:rsidR="00875B5E" w:rsidRPr="004A6E08" w14:paraId="61E115FA" w14:textId="77777777" w:rsidTr="00FF3814">
        <w:tc>
          <w:tcPr>
            <w:tcW w:w="4569" w:type="dxa"/>
          </w:tcPr>
          <w:p w14:paraId="370130A3" w14:textId="77777777" w:rsidR="00875B5E" w:rsidRPr="009359E2" w:rsidRDefault="00875B5E" w:rsidP="00FF3814">
            <w:pPr>
              <w:spacing w:after="160" w:line="259" w:lineRule="auto"/>
              <w:rPr>
                <w:rFonts w:cstheme="minorHAnsi"/>
                <w:lang w:eastAsia="hr-HR"/>
              </w:rPr>
            </w:pPr>
            <w:r w:rsidRPr="009359E2">
              <w:rPr>
                <w:rFonts w:cstheme="minorHAnsi"/>
                <w:lang w:eastAsia="hr-HR"/>
              </w:rPr>
              <w:t>Potencijalnih obveza po osnovi sudskih sporova</w:t>
            </w:r>
          </w:p>
        </w:tc>
        <w:tc>
          <w:tcPr>
            <w:tcW w:w="1945" w:type="dxa"/>
          </w:tcPr>
          <w:p w14:paraId="43B3C032" w14:textId="01238569" w:rsidR="00875B5E" w:rsidRPr="004A6E08" w:rsidRDefault="00875B5E" w:rsidP="009359E2">
            <w:pPr>
              <w:spacing w:after="160" w:line="259" w:lineRule="auto"/>
              <w:rPr>
                <w:rFonts w:cstheme="minorHAnsi"/>
                <w:lang w:eastAsia="hr-HR"/>
              </w:rPr>
            </w:pPr>
            <w:r w:rsidRPr="009359E2">
              <w:rPr>
                <w:rFonts w:cstheme="minorHAnsi"/>
                <w:lang w:eastAsia="hr-HR"/>
              </w:rPr>
              <w:t xml:space="preserve">    </w:t>
            </w:r>
            <w:r w:rsidR="009359E2" w:rsidRPr="009359E2">
              <w:rPr>
                <w:rFonts w:cstheme="minorHAnsi"/>
                <w:lang w:eastAsia="hr-HR"/>
              </w:rPr>
              <w:t>132.409,90</w:t>
            </w:r>
            <w:r w:rsidRPr="009359E2">
              <w:rPr>
                <w:rFonts w:cstheme="minorHAnsi"/>
                <w:lang w:eastAsia="hr-HR"/>
              </w:rPr>
              <w:t xml:space="preserve"> EUR</w:t>
            </w:r>
          </w:p>
        </w:tc>
      </w:tr>
    </w:tbl>
    <w:p w14:paraId="1716311B" w14:textId="77777777" w:rsidR="00875B5E" w:rsidRPr="004A6E08" w:rsidRDefault="00875B5E" w:rsidP="003F4301">
      <w:pPr>
        <w:rPr>
          <w:rFonts w:cstheme="minorHAnsi"/>
        </w:rPr>
        <w:sectPr w:rsidR="00875B5E" w:rsidRPr="004A6E08" w:rsidSect="00DA1E5E">
          <w:headerReference w:type="even" r:id="rId21"/>
          <w:headerReference w:type="default" r:id="rId22"/>
          <w:pgSz w:w="12240" w:h="15840" w:code="1"/>
          <w:pgMar w:top="567" w:right="851" w:bottom="992" w:left="851" w:header="720" w:footer="720" w:gutter="0"/>
          <w:pgNumType w:start="1" w:chapStyle="1"/>
          <w:cols w:space="720"/>
          <w:titlePg/>
          <w:docGrid w:linePitch="360"/>
        </w:sectPr>
      </w:pPr>
    </w:p>
    <w:p w14:paraId="00A668B5" w14:textId="0BC7D673" w:rsidR="001B2FC7" w:rsidRPr="004A6E08" w:rsidRDefault="001B2FC7" w:rsidP="001B2FC7">
      <w:pPr>
        <w:rPr>
          <w:rFonts w:cstheme="minorHAnsi"/>
        </w:rPr>
      </w:pPr>
      <w:r w:rsidRPr="00C77BC2">
        <w:rPr>
          <w:rFonts w:cstheme="minorHAnsi"/>
        </w:rPr>
        <w:lastRenderedPageBreak/>
        <w:t>Izvještaj o stanju potencijalnih obveza po osnovi sudskih sporova</w:t>
      </w:r>
    </w:p>
    <w:p w14:paraId="07A055B7" w14:textId="77777777" w:rsidR="001B2FC7" w:rsidRPr="004A6E08" w:rsidRDefault="001B2FC7" w:rsidP="001B2FC7">
      <w:pPr>
        <w:rPr>
          <w:rFonts w:cstheme="minorHAnsi"/>
        </w:rPr>
      </w:pPr>
    </w:p>
    <w:p w14:paraId="2D05084D" w14:textId="77777777" w:rsidR="001B2FC7" w:rsidRPr="004A6E08" w:rsidRDefault="001B2FC7" w:rsidP="001B2FC7">
      <w:pPr>
        <w:spacing w:after="0" w:line="240" w:lineRule="auto"/>
        <w:jc w:val="center"/>
        <w:rPr>
          <w:rFonts w:cstheme="minorHAnsi"/>
        </w:rPr>
      </w:pPr>
      <w:r w:rsidRPr="004A6E08">
        <w:rPr>
          <w:rFonts w:cstheme="minorHAnsi"/>
        </w:rPr>
        <w:t>IZVANBILANČNA EVIDENCIJA</w:t>
      </w:r>
    </w:p>
    <w:p w14:paraId="351C3C01" w14:textId="77777777" w:rsidR="001B2FC7" w:rsidRPr="004A6E08" w:rsidRDefault="001B2FC7" w:rsidP="001B2FC7">
      <w:pPr>
        <w:spacing w:after="0" w:line="240" w:lineRule="auto"/>
        <w:jc w:val="center"/>
        <w:rPr>
          <w:rFonts w:cstheme="minorHAnsi"/>
        </w:rPr>
      </w:pPr>
      <w:r w:rsidRPr="004A6E08">
        <w:rPr>
          <w:rFonts w:cstheme="minorHAnsi"/>
        </w:rPr>
        <w:t>pregled parničnih i prekršajnih postupaka, radnih i upravnih sporova</w:t>
      </w:r>
    </w:p>
    <w:p w14:paraId="292B5C42" w14:textId="75681517" w:rsidR="001B2FC7" w:rsidRPr="004A6E08" w:rsidRDefault="001B2FC7" w:rsidP="00C77BC2">
      <w:pPr>
        <w:spacing w:after="0" w:line="240" w:lineRule="auto"/>
        <w:rPr>
          <w:rFonts w:cstheme="minorHAnsi"/>
        </w:rPr>
      </w:pPr>
    </w:p>
    <w:tbl>
      <w:tblPr>
        <w:tblStyle w:val="TableGrid6"/>
        <w:tblW w:w="13931" w:type="dxa"/>
        <w:tblLayout w:type="fixed"/>
        <w:tblLook w:val="04A0" w:firstRow="1" w:lastRow="0" w:firstColumn="1" w:lastColumn="0" w:noHBand="0" w:noVBand="1"/>
      </w:tblPr>
      <w:tblGrid>
        <w:gridCol w:w="704"/>
        <w:gridCol w:w="2098"/>
        <w:gridCol w:w="2126"/>
        <w:gridCol w:w="1730"/>
        <w:gridCol w:w="1177"/>
        <w:gridCol w:w="1701"/>
        <w:gridCol w:w="4395"/>
      </w:tblGrid>
      <w:tr w:rsidR="00C77BC2" w:rsidRPr="00C77BC2" w14:paraId="15627DA7" w14:textId="77777777" w:rsidTr="00C77BC2">
        <w:tc>
          <w:tcPr>
            <w:tcW w:w="704" w:type="dxa"/>
            <w:shd w:val="clear" w:color="auto" w:fill="D9D9D9"/>
          </w:tcPr>
          <w:p w14:paraId="107C33F7"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Red.</w:t>
            </w:r>
          </w:p>
          <w:p w14:paraId="07E241F5"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br.</w:t>
            </w:r>
          </w:p>
        </w:tc>
        <w:tc>
          <w:tcPr>
            <w:tcW w:w="2098" w:type="dxa"/>
            <w:shd w:val="clear" w:color="auto" w:fill="D9D9D9"/>
          </w:tcPr>
          <w:p w14:paraId="0E090276"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Sudska oznaka predmeta</w:t>
            </w:r>
          </w:p>
        </w:tc>
        <w:tc>
          <w:tcPr>
            <w:tcW w:w="2126" w:type="dxa"/>
            <w:shd w:val="clear" w:color="auto" w:fill="D9D9D9"/>
          </w:tcPr>
          <w:p w14:paraId="0AB03406"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Vrsta tužbenog zahtjeva</w:t>
            </w:r>
          </w:p>
        </w:tc>
        <w:tc>
          <w:tcPr>
            <w:tcW w:w="1730" w:type="dxa"/>
            <w:shd w:val="clear" w:color="auto" w:fill="D9D9D9"/>
          </w:tcPr>
          <w:p w14:paraId="14B78C1C" w14:textId="77777777" w:rsid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 xml:space="preserve">Procjena financijskog </w:t>
            </w:r>
          </w:p>
          <w:p w14:paraId="24C884C7" w14:textId="7BFC2F82"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učinka</w:t>
            </w:r>
          </w:p>
        </w:tc>
        <w:tc>
          <w:tcPr>
            <w:tcW w:w="1177" w:type="dxa"/>
            <w:shd w:val="clear" w:color="auto" w:fill="D9D9D9"/>
          </w:tcPr>
          <w:p w14:paraId="3B9A7B6B"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Tuženik</w:t>
            </w:r>
          </w:p>
        </w:tc>
        <w:tc>
          <w:tcPr>
            <w:tcW w:w="1701" w:type="dxa"/>
            <w:shd w:val="clear" w:color="auto" w:fill="D9D9D9"/>
          </w:tcPr>
          <w:p w14:paraId="307D8965"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Tužitelj/ica</w:t>
            </w:r>
            <w:r w:rsidRPr="00C77BC2">
              <w:rPr>
                <w:rFonts w:ascii="Times New Roman" w:eastAsia="Calibri" w:hAnsi="Times New Roman" w:cs="Times New Roman"/>
                <w:b/>
                <w:sz w:val="24"/>
                <w:szCs w:val="24"/>
                <w:vertAlign w:val="superscript"/>
              </w:rPr>
              <w:footnoteReference w:id="2"/>
            </w:r>
          </w:p>
        </w:tc>
        <w:tc>
          <w:tcPr>
            <w:tcW w:w="4395" w:type="dxa"/>
            <w:shd w:val="clear" w:color="auto" w:fill="D9D9D9"/>
          </w:tcPr>
          <w:p w14:paraId="5B0CB325"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Tijek postupka/</w:t>
            </w:r>
          </w:p>
          <w:p w14:paraId="114168E9"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Procijenjeno vrijeme priljeva i odljeva sredstava</w:t>
            </w:r>
          </w:p>
        </w:tc>
      </w:tr>
      <w:tr w:rsidR="00C77BC2" w:rsidRPr="00C77BC2" w14:paraId="4C1DED44" w14:textId="77777777" w:rsidTr="00C77BC2">
        <w:tc>
          <w:tcPr>
            <w:tcW w:w="704" w:type="dxa"/>
          </w:tcPr>
          <w:p w14:paraId="7E7B1C5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1. </w:t>
            </w:r>
          </w:p>
        </w:tc>
        <w:tc>
          <w:tcPr>
            <w:tcW w:w="2098" w:type="dxa"/>
          </w:tcPr>
          <w:p w14:paraId="53FA7FE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114-02/14-01/10</w:t>
            </w:r>
          </w:p>
          <w:p w14:paraId="4C08D1F3"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Pr-9642/2014</w:t>
            </w:r>
          </w:p>
          <w:p w14:paraId="096B30BF"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R-2241/2016</w:t>
            </w:r>
          </w:p>
          <w:p w14:paraId="7039BE37"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Revr-501/2018</w:t>
            </w:r>
          </w:p>
        </w:tc>
        <w:tc>
          <w:tcPr>
            <w:tcW w:w="2126" w:type="dxa"/>
          </w:tcPr>
          <w:p w14:paraId="724331F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Radno </w:t>
            </w:r>
          </w:p>
          <w:p w14:paraId="16E1102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(isplata)</w:t>
            </w:r>
          </w:p>
        </w:tc>
        <w:tc>
          <w:tcPr>
            <w:tcW w:w="1730" w:type="dxa"/>
          </w:tcPr>
          <w:p w14:paraId="5336456B"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0,00 EUR</w:t>
            </w:r>
          </w:p>
          <w:p w14:paraId="6412071D" w14:textId="77777777" w:rsidR="00C77BC2" w:rsidRPr="00C77BC2" w:rsidRDefault="00C77BC2" w:rsidP="00C77BC2">
            <w:pPr>
              <w:jc w:val="center"/>
              <w:rPr>
                <w:rFonts w:ascii="Times New Roman" w:eastAsia="Calibri" w:hAnsi="Times New Roman" w:cs="Times New Roman"/>
                <w:sz w:val="18"/>
                <w:szCs w:val="18"/>
              </w:rPr>
            </w:pPr>
          </w:p>
        </w:tc>
        <w:tc>
          <w:tcPr>
            <w:tcW w:w="1177" w:type="dxa"/>
          </w:tcPr>
          <w:p w14:paraId="22A7DD4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tcPr>
          <w:p w14:paraId="1CE16675"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XY-1</w:t>
            </w:r>
          </w:p>
        </w:tc>
        <w:tc>
          <w:tcPr>
            <w:tcW w:w="4395" w:type="dxa"/>
          </w:tcPr>
          <w:p w14:paraId="0E2452AD"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19.03.2024. – Rješenjem Vrhovnog suda Republike Hrvatske revizija tužitelja odbačena kao nedopuštena.</w:t>
            </w:r>
          </w:p>
          <w:p w14:paraId="228464DB" w14:textId="77777777" w:rsidR="00C77BC2" w:rsidRPr="00C77BC2" w:rsidRDefault="00C77BC2" w:rsidP="00C77BC2">
            <w:pPr>
              <w:jc w:val="both"/>
              <w:rPr>
                <w:rFonts w:ascii="Times New Roman" w:eastAsia="Calibri" w:hAnsi="Times New Roman" w:cs="Times New Roman"/>
                <w:b/>
                <w:sz w:val="18"/>
                <w:szCs w:val="18"/>
              </w:rPr>
            </w:pPr>
            <w:r w:rsidRPr="00C77BC2">
              <w:rPr>
                <w:rFonts w:ascii="Times New Roman" w:eastAsia="Calibri" w:hAnsi="Times New Roman" w:cs="Times New Roman"/>
                <w:b/>
                <w:sz w:val="18"/>
                <w:szCs w:val="18"/>
              </w:rPr>
              <w:t>NAPOMENA: predmet je završen. HAKOM nema obaveza po ovom predmetu.</w:t>
            </w:r>
          </w:p>
        </w:tc>
      </w:tr>
      <w:tr w:rsidR="00C77BC2" w:rsidRPr="00C77BC2" w14:paraId="16415F63" w14:textId="77777777" w:rsidTr="00C77BC2">
        <w:tc>
          <w:tcPr>
            <w:tcW w:w="704" w:type="dxa"/>
          </w:tcPr>
          <w:p w14:paraId="33241D0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2. </w:t>
            </w:r>
          </w:p>
        </w:tc>
        <w:tc>
          <w:tcPr>
            <w:tcW w:w="2098" w:type="dxa"/>
          </w:tcPr>
          <w:p w14:paraId="0B7A486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114-02/17-01/03</w:t>
            </w:r>
          </w:p>
          <w:p w14:paraId="6D391785"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Pr-1201/2017</w:t>
            </w:r>
          </w:p>
        </w:tc>
        <w:tc>
          <w:tcPr>
            <w:tcW w:w="2126" w:type="dxa"/>
          </w:tcPr>
          <w:p w14:paraId="424843A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Statusno </w:t>
            </w:r>
          </w:p>
          <w:p w14:paraId="69590F2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(radi diskriminacije)</w:t>
            </w:r>
          </w:p>
        </w:tc>
        <w:tc>
          <w:tcPr>
            <w:tcW w:w="1730" w:type="dxa"/>
          </w:tcPr>
          <w:p w14:paraId="18A713B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6.242,67 EUR</w:t>
            </w:r>
          </w:p>
          <w:p w14:paraId="5CAB8D45" w14:textId="77777777" w:rsidR="00C77BC2" w:rsidRPr="00C77BC2" w:rsidRDefault="00C77BC2" w:rsidP="00C77BC2">
            <w:pPr>
              <w:jc w:val="center"/>
              <w:rPr>
                <w:rFonts w:ascii="Times New Roman" w:eastAsia="Calibri" w:hAnsi="Times New Roman" w:cs="Times New Roman"/>
                <w:sz w:val="18"/>
                <w:szCs w:val="18"/>
              </w:rPr>
            </w:pPr>
          </w:p>
        </w:tc>
        <w:tc>
          <w:tcPr>
            <w:tcW w:w="1177" w:type="dxa"/>
          </w:tcPr>
          <w:p w14:paraId="3C5788B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tcPr>
          <w:p w14:paraId="052425C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XY-2</w:t>
            </w:r>
          </w:p>
        </w:tc>
        <w:tc>
          <w:tcPr>
            <w:tcW w:w="4395" w:type="dxa"/>
          </w:tcPr>
          <w:p w14:paraId="56CAFD17"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23.06.2017. – tužba – Općinski radni sud u Zagrebu,</w:t>
            </w:r>
          </w:p>
          <w:p w14:paraId="445C5078"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18.01.2024. – ročište za glavnu raspravu,</w:t>
            </w:r>
          </w:p>
          <w:p w14:paraId="2487E1C3"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17.01.2025. – ročište za objavu odluke,</w:t>
            </w:r>
          </w:p>
          <w:p w14:paraId="0BECCB56"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25672535" w14:textId="77777777" w:rsidTr="00C77BC2">
        <w:tc>
          <w:tcPr>
            <w:tcW w:w="704" w:type="dxa"/>
          </w:tcPr>
          <w:p w14:paraId="64F514D5"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3. </w:t>
            </w:r>
          </w:p>
        </w:tc>
        <w:tc>
          <w:tcPr>
            <w:tcW w:w="2098" w:type="dxa"/>
          </w:tcPr>
          <w:p w14:paraId="292D0E3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114-02/16-01/01</w:t>
            </w:r>
          </w:p>
          <w:p w14:paraId="4088125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Pr-1141/2016</w:t>
            </w:r>
          </w:p>
          <w:p w14:paraId="3F34D88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Pr-3065/2019</w:t>
            </w:r>
          </w:p>
        </w:tc>
        <w:tc>
          <w:tcPr>
            <w:tcW w:w="2126" w:type="dxa"/>
          </w:tcPr>
          <w:p w14:paraId="69632747"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Statusno </w:t>
            </w:r>
          </w:p>
          <w:p w14:paraId="1BE6BB2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(radi diskriminacije)</w:t>
            </w:r>
          </w:p>
        </w:tc>
        <w:tc>
          <w:tcPr>
            <w:tcW w:w="1730" w:type="dxa"/>
          </w:tcPr>
          <w:p w14:paraId="7DA6209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31.959,65 EUR</w:t>
            </w:r>
          </w:p>
          <w:p w14:paraId="693CB910" w14:textId="77777777" w:rsidR="00C77BC2" w:rsidRPr="00C77BC2" w:rsidRDefault="00C77BC2" w:rsidP="00C77BC2">
            <w:pPr>
              <w:jc w:val="center"/>
              <w:rPr>
                <w:rFonts w:ascii="Times New Roman" w:eastAsia="Calibri" w:hAnsi="Times New Roman" w:cs="Times New Roman"/>
                <w:sz w:val="18"/>
                <w:szCs w:val="18"/>
              </w:rPr>
            </w:pPr>
          </w:p>
        </w:tc>
        <w:tc>
          <w:tcPr>
            <w:tcW w:w="1177" w:type="dxa"/>
          </w:tcPr>
          <w:p w14:paraId="599478D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tcPr>
          <w:p w14:paraId="2FECF51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XY-3</w:t>
            </w:r>
          </w:p>
        </w:tc>
        <w:tc>
          <w:tcPr>
            <w:tcW w:w="4395" w:type="dxa"/>
          </w:tcPr>
          <w:p w14:paraId="308398E0"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13.05.2016. – tužba – Općinski radni sud u Zagrebu,</w:t>
            </w:r>
          </w:p>
          <w:p w14:paraId="438C8638"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17.03.2023. – zakazana rasprava,</w:t>
            </w:r>
          </w:p>
          <w:p w14:paraId="0105D8B5"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20.01.2025. – ročište za glavnu raspravu,</w:t>
            </w:r>
          </w:p>
          <w:p w14:paraId="58573A5F"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6C336DF1" w14:textId="77777777" w:rsidTr="00C77BC2">
        <w:tc>
          <w:tcPr>
            <w:tcW w:w="704" w:type="dxa"/>
          </w:tcPr>
          <w:p w14:paraId="010B274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4.</w:t>
            </w:r>
          </w:p>
        </w:tc>
        <w:tc>
          <w:tcPr>
            <w:tcW w:w="2098" w:type="dxa"/>
          </w:tcPr>
          <w:p w14:paraId="23EE1A58"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114-02/17-01/04</w:t>
            </w:r>
          </w:p>
          <w:p w14:paraId="0075761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Pr-1551/2017</w:t>
            </w:r>
          </w:p>
        </w:tc>
        <w:tc>
          <w:tcPr>
            <w:tcW w:w="2126" w:type="dxa"/>
          </w:tcPr>
          <w:p w14:paraId="35411B3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Statusno </w:t>
            </w:r>
          </w:p>
          <w:p w14:paraId="1DBD61D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(radi nedopuštenosti otkaza)</w:t>
            </w:r>
          </w:p>
        </w:tc>
        <w:tc>
          <w:tcPr>
            <w:tcW w:w="1730" w:type="dxa"/>
          </w:tcPr>
          <w:p w14:paraId="056018F4" w14:textId="77777777" w:rsidR="00C77BC2" w:rsidRPr="00C77BC2" w:rsidRDefault="00C77BC2" w:rsidP="00C77BC2">
            <w:pPr>
              <w:jc w:val="center"/>
              <w:rPr>
                <w:rFonts w:ascii="Times New Roman" w:eastAsia="Calibri" w:hAnsi="Times New Roman" w:cs="Times New Roman"/>
                <w:sz w:val="18"/>
                <w:szCs w:val="18"/>
              </w:rPr>
            </w:pPr>
            <w:bookmarkStart w:id="21" w:name="OLE_LINK1"/>
            <w:r w:rsidRPr="00C77BC2">
              <w:rPr>
                <w:rFonts w:ascii="Times New Roman" w:eastAsia="Calibri" w:hAnsi="Times New Roman" w:cs="Times New Roman"/>
                <w:sz w:val="18"/>
                <w:szCs w:val="18"/>
              </w:rPr>
              <w:t>57.145,13 EUR</w:t>
            </w:r>
          </w:p>
          <w:bookmarkEnd w:id="21"/>
          <w:p w14:paraId="52AA0EEC" w14:textId="77777777" w:rsidR="00C77BC2" w:rsidRPr="00C77BC2" w:rsidRDefault="00C77BC2" w:rsidP="00C77BC2">
            <w:pPr>
              <w:jc w:val="center"/>
              <w:rPr>
                <w:rFonts w:ascii="Times New Roman" w:eastAsia="Calibri" w:hAnsi="Times New Roman" w:cs="Times New Roman"/>
                <w:sz w:val="18"/>
                <w:szCs w:val="18"/>
              </w:rPr>
            </w:pPr>
          </w:p>
        </w:tc>
        <w:tc>
          <w:tcPr>
            <w:tcW w:w="1177" w:type="dxa"/>
          </w:tcPr>
          <w:p w14:paraId="610B5C1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tcPr>
          <w:p w14:paraId="0BD978F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XY-4</w:t>
            </w:r>
          </w:p>
        </w:tc>
        <w:tc>
          <w:tcPr>
            <w:tcW w:w="4395" w:type="dxa"/>
          </w:tcPr>
          <w:p w14:paraId="31033B15"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11.08.2017. – tužba – Općinski radni sud u Zagrebu,</w:t>
            </w:r>
          </w:p>
          <w:p w14:paraId="63FE5ECE"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27.09.2018. – rješenje Općinskog radnog suda u Zagrebu – prekid postupka do pravomoćnosti postupka koji se vodi pod poslovnim brojem Pr-1201/2017,</w:t>
            </w:r>
          </w:p>
          <w:p w14:paraId="3087FE4C"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24EFDFB3" w14:textId="77777777" w:rsidTr="00C77BC2">
        <w:tc>
          <w:tcPr>
            <w:tcW w:w="704" w:type="dxa"/>
          </w:tcPr>
          <w:p w14:paraId="0C0DA992" w14:textId="77777777" w:rsidR="00C77BC2" w:rsidRPr="00C77BC2" w:rsidDel="00B262B1"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5.</w:t>
            </w:r>
          </w:p>
        </w:tc>
        <w:tc>
          <w:tcPr>
            <w:tcW w:w="2098" w:type="dxa"/>
          </w:tcPr>
          <w:p w14:paraId="032EF2A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114-02/18-01/04</w:t>
            </w:r>
          </w:p>
          <w:p w14:paraId="3B1E9A8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Pr-4809/2018</w:t>
            </w:r>
          </w:p>
          <w:p w14:paraId="201ADB9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R-1123/2019</w:t>
            </w:r>
          </w:p>
          <w:p w14:paraId="41667F87"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Pr-6942/2020</w:t>
            </w:r>
          </w:p>
          <w:p w14:paraId="143731D1"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R-1810/2021</w:t>
            </w:r>
          </w:p>
          <w:p w14:paraId="247ED54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Rev-332/2022</w:t>
            </w:r>
          </w:p>
        </w:tc>
        <w:tc>
          <w:tcPr>
            <w:tcW w:w="2126" w:type="dxa"/>
          </w:tcPr>
          <w:p w14:paraId="30C7C62D"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Statusno </w:t>
            </w:r>
          </w:p>
          <w:p w14:paraId="7B0A829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(utvrđenje radnog odnosa)</w:t>
            </w:r>
          </w:p>
        </w:tc>
        <w:tc>
          <w:tcPr>
            <w:tcW w:w="1730" w:type="dxa"/>
          </w:tcPr>
          <w:p w14:paraId="5D40B751"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Nije određena</w:t>
            </w:r>
          </w:p>
        </w:tc>
        <w:tc>
          <w:tcPr>
            <w:tcW w:w="1177" w:type="dxa"/>
          </w:tcPr>
          <w:p w14:paraId="16C57DF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tcPr>
          <w:p w14:paraId="317E108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XY-5</w:t>
            </w:r>
          </w:p>
        </w:tc>
        <w:tc>
          <w:tcPr>
            <w:tcW w:w="4395" w:type="dxa"/>
          </w:tcPr>
          <w:p w14:paraId="4C4D9DF4"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16.05.2019. – presuda Općinskog radnog suda u Zagrebu,</w:t>
            </w:r>
          </w:p>
          <w:p w14:paraId="58B18456"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27.05.2019. – izjavljena žalba tužitelja,</w:t>
            </w:r>
          </w:p>
          <w:p w14:paraId="2D2ECA42"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19.05.2020. – rješenje Županijskog suda u Zagrebu – ukinuta 1.st. presuda i predmet vraćen na ponovno suđenje,</w:t>
            </w:r>
          </w:p>
          <w:p w14:paraId="771218D8"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30.11.2021. – Županijski sud u Zagrebu – presuda – odbijena žalba HAKOM-a,</w:t>
            </w:r>
          </w:p>
          <w:p w14:paraId="0C5012A1"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28.03.2022. – prijedlog HAKOM-a za dopuštenje revizije – Vrhovni sud Republike Hrvatske,</w:t>
            </w:r>
            <w:r w:rsidRPr="00C77BC2">
              <w:rPr>
                <w:rFonts w:ascii="Times New Roman" w:eastAsia="Calibri" w:hAnsi="Times New Roman" w:cs="Times New Roman"/>
                <w:sz w:val="18"/>
                <w:szCs w:val="18"/>
              </w:rPr>
              <w:tab/>
            </w:r>
          </w:p>
          <w:p w14:paraId="76E75D36"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2025. – procijenjeno vrijeme priljeva i odljeva sredstava.</w:t>
            </w:r>
          </w:p>
        </w:tc>
      </w:tr>
    </w:tbl>
    <w:p w14:paraId="2186E061" w14:textId="77777777" w:rsidR="00C77BC2" w:rsidRDefault="00C77BC2">
      <w:r>
        <w:br w:type="page"/>
      </w:r>
    </w:p>
    <w:tbl>
      <w:tblPr>
        <w:tblStyle w:val="TableGrid6"/>
        <w:tblW w:w="14384" w:type="dxa"/>
        <w:tblLayout w:type="fixed"/>
        <w:tblLook w:val="04A0" w:firstRow="1" w:lastRow="0" w:firstColumn="1" w:lastColumn="0" w:noHBand="0" w:noVBand="1"/>
      </w:tblPr>
      <w:tblGrid>
        <w:gridCol w:w="704"/>
        <w:gridCol w:w="2098"/>
        <w:gridCol w:w="2126"/>
        <w:gridCol w:w="2183"/>
        <w:gridCol w:w="1177"/>
        <w:gridCol w:w="1701"/>
        <w:gridCol w:w="4395"/>
      </w:tblGrid>
      <w:tr w:rsidR="00C77BC2" w:rsidRPr="00C77BC2" w14:paraId="041B9FE2" w14:textId="77777777" w:rsidTr="00C77BC2">
        <w:tc>
          <w:tcPr>
            <w:tcW w:w="704" w:type="dxa"/>
            <w:shd w:val="clear" w:color="auto" w:fill="D9D9D9"/>
          </w:tcPr>
          <w:p w14:paraId="21658BE7" w14:textId="31D7092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lastRenderedPageBreak/>
              <w:t>Red.</w:t>
            </w:r>
          </w:p>
          <w:p w14:paraId="4FB4E765"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br.</w:t>
            </w:r>
          </w:p>
        </w:tc>
        <w:tc>
          <w:tcPr>
            <w:tcW w:w="2098" w:type="dxa"/>
            <w:shd w:val="clear" w:color="auto" w:fill="D9D9D9"/>
          </w:tcPr>
          <w:p w14:paraId="6A1DFCA8"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Sudska oznaka predmeta</w:t>
            </w:r>
          </w:p>
        </w:tc>
        <w:tc>
          <w:tcPr>
            <w:tcW w:w="2126" w:type="dxa"/>
            <w:shd w:val="clear" w:color="auto" w:fill="D9D9D9"/>
          </w:tcPr>
          <w:p w14:paraId="1B72B99C"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Vrsta tužbenog zahtjeva</w:t>
            </w:r>
          </w:p>
        </w:tc>
        <w:tc>
          <w:tcPr>
            <w:tcW w:w="2183" w:type="dxa"/>
            <w:shd w:val="clear" w:color="auto" w:fill="D9D9D9"/>
          </w:tcPr>
          <w:p w14:paraId="1B4763D3"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Procjena financijskog učinka</w:t>
            </w:r>
          </w:p>
        </w:tc>
        <w:tc>
          <w:tcPr>
            <w:tcW w:w="1177" w:type="dxa"/>
            <w:shd w:val="clear" w:color="auto" w:fill="D9D9D9"/>
          </w:tcPr>
          <w:p w14:paraId="1CCD5A70"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Tuženik</w:t>
            </w:r>
          </w:p>
        </w:tc>
        <w:tc>
          <w:tcPr>
            <w:tcW w:w="1701" w:type="dxa"/>
            <w:shd w:val="clear" w:color="auto" w:fill="D9D9D9"/>
          </w:tcPr>
          <w:p w14:paraId="0D134ACA"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Tužitelj/ica</w:t>
            </w:r>
          </w:p>
        </w:tc>
        <w:tc>
          <w:tcPr>
            <w:tcW w:w="4395" w:type="dxa"/>
            <w:shd w:val="clear" w:color="auto" w:fill="D9D9D9"/>
          </w:tcPr>
          <w:p w14:paraId="3828E187"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Tijek postupka/</w:t>
            </w:r>
          </w:p>
          <w:p w14:paraId="1360D016"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Procijenjeno vrijeme priljeva i odljeva sredstava</w:t>
            </w:r>
          </w:p>
        </w:tc>
      </w:tr>
      <w:tr w:rsidR="00C77BC2" w:rsidRPr="00C77BC2" w14:paraId="75FF2523" w14:textId="77777777" w:rsidTr="00C77BC2">
        <w:tc>
          <w:tcPr>
            <w:tcW w:w="704" w:type="dxa"/>
          </w:tcPr>
          <w:p w14:paraId="32D143F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6.</w:t>
            </w:r>
          </w:p>
        </w:tc>
        <w:tc>
          <w:tcPr>
            <w:tcW w:w="2098" w:type="dxa"/>
            <w:shd w:val="clear" w:color="auto" w:fill="FFFFFF"/>
          </w:tcPr>
          <w:p w14:paraId="2128602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114-02/19-01/05</w:t>
            </w:r>
          </w:p>
          <w:p w14:paraId="24FD655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Pr-1813/2019</w:t>
            </w:r>
          </w:p>
          <w:p w14:paraId="2825F57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R-1364/2021</w:t>
            </w:r>
          </w:p>
          <w:p w14:paraId="5347239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Pr-1813/2022 – promijenjen upisnik</w:t>
            </w:r>
          </w:p>
          <w:p w14:paraId="6B2DECC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R-544/2024</w:t>
            </w:r>
          </w:p>
        </w:tc>
        <w:tc>
          <w:tcPr>
            <w:tcW w:w="2126" w:type="dxa"/>
            <w:shd w:val="clear" w:color="auto" w:fill="FFFFFF"/>
          </w:tcPr>
          <w:p w14:paraId="5BE1E868"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Statusno </w:t>
            </w:r>
          </w:p>
          <w:p w14:paraId="049DD4B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(utvrđenje radnog odnosa)</w:t>
            </w:r>
          </w:p>
        </w:tc>
        <w:tc>
          <w:tcPr>
            <w:tcW w:w="2183" w:type="dxa"/>
            <w:shd w:val="clear" w:color="auto" w:fill="FFFFFF"/>
          </w:tcPr>
          <w:p w14:paraId="35F56E4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Nije određena</w:t>
            </w:r>
          </w:p>
        </w:tc>
        <w:tc>
          <w:tcPr>
            <w:tcW w:w="1177" w:type="dxa"/>
            <w:shd w:val="clear" w:color="auto" w:fill="FFFFFF"/>
          </w:tcPr>
          <w:p w14:paraId="2393994B"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shd w:val="clear" w:color="auto" w:fill="FFFFFF"/>
          </w:tcPr>
          <w:p w14:paraId="706C986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XY-6</w:t>
            </w:r>
          </w:p>
        </w:tc>
        <w:tc>
          <w:tcPr>
            <w:tcW w:w="4395" w:type="dxa"/>
            <w:shd w:val="clear" w:color="auto" w:fill="FFFFFF"/>
          </w:tcPr>
          <w:p w14:paraId="111E9BAE" w14:textId="77777777" w:rsidR="00C77BC2" w:rsidRPr="00C77BC2" w:rsidRDefault="00C77BC2" w:rsidP="00C77BC2">
            <w:pPr>
              <w:jc w:val="both"/>
              <w:rPr>
                <w:rFonts w:ascii="Calibri" w:eastAsia="Calibri" w:hAnsi="Calibri" w:cs="Times New Roman"/>
              </w:rPr>
            </w:pPr>
            <w:r w:rsidRPr="00C77BC2">
              <w:rPr>
                <w:rFonts w:ascii="Times New Roman" w:eastAsia="Calibri" w:hAnsi="Times New Roman" w:cs="Times New Roman"/>
                <w:sz w:val="18"/>
                <w:szCs w:val="18"/>
              </w:rPr>
              <w:t>20.05.2019. – prvostupanjski postupak u tijeku – Općinski radni sud u Zagrebu,</w:t>
            </w:r>
          </w:p>
          <w:p w14:paraId="5E471EFA"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24.11.2021. – Županijski sud u Splitu – rješenje –  odbijena žalba kao neosnovana – potvrđeno rješenje o prekidu postupka Općinskog radnog suda u Zagrebu od 20.08.2021.,</w:t>
            </w:r>
          </w:p>
          <w:p w14:paraId="697C4292"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08.03.2024. – presuda Općinskog radnog suda u Zagrebu u korist HAKOM-a,</w:t>
            </w:r>
          </w:p>
          <w:p w14:paraId="5F12CE81"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25.03.2024. – žalba tužitelja – Županijski sud u Zagrebu,</w:t>
            </w:r>
          </w:p>
          <w:p w14:paraId="6F89012E"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2025. – procijenjeno vrijeme priljeva i odljeva sredstava.</w:t>
            </w:r>
          </w:p>
        </w:tc>
      </w:tr>
      <w:tr w:rsidR="00C77BC2" w:rsidRPr="00C77BC2" w14:paraId="29557022" w14:textId="77777777" w:rsidTr="00C77BC2">
        <w:tc>
          <w:tcPr>
            <w:tcW w:w="704" w:type="dxa"/>
          </w:tcPr>
          <w:p w14:paraId="5840B16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7. </w:t>
            </w:r>
          </w:p>
        </w:tc>
        <w:tc>
          <w:tcPr>
            <w:tcW w:w="2098" w:type="dxa"/>
            <w:shd w:val="clear" w:color="auto" w:fill="FFFFFF"/>
          </w:tcPr>
          <w:p w14:paraId="44E31988"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114-02/18-01/04</w:t>
            </w:r>
          </w:p>
          <w:p w14:paraId="5757511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Pr-1562/2022</w:t>
            </w:r>
          </w:p>
          <w:p w14:paraId="4BCDF123"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R-928/2024</w:t>
            </w:r>
          </w:p>
          <w:p w14:paraId="36A89E23" w14:textId="77777777" w:rsidR="00C77BC2" w:rsidRPr="00C77BC2" w:rsidRDefault="00C77BC2" w:rsidP="00C77BC2">
            <w:pPr>
              <w:jc w:val="center"/>
              <w:rPr>
                <w:rFonts w:ascii="Times New Roman" w:eastAsia="Calibri" w:hAnsi="Times New Roman" w:cs="Times New Roman"/>
                <w:sz w:val="18"/>
                <w:szCs w:val="18"/>
              </w:rPr>
            </w:pPr>
          </w:p>
        </w:tc>
        <w:tc>
          <w:tcPr>
            <w:tcW w:w="2126" w:type="dxa"/>
            <w:shd w:val="clear" w:color="auto" w:fill="FFFFFF"/>
          </w:tcPr>
          <w:p w14:paraId="7DC7770F"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Radno</w:t>
            </w:r>
          </w:p>
          <w:p w14:paraId="682F6C3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(otkaz)</w:t>
            </w:r>
          </w:p>
        </w:tc>
        <w:tc>
          <w:tcPr>
            <w:tcW w:w="2183" w:type="dxa"/>
            <w:shd w:val="clear" w:color="auto" w:fill="FFFFFF"/>
          </w:tcPr>
          <w:p w14:paraId="7E56637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Nije određena</w:t>
            </w:r>
          </w:p>
        </w:tc>
        <w:tc>
          <w:tcPr>
            <w:tcW w:w="1177" w:type="dxa"/>
            <w:shd w:val="clear" w:color="auto" w:fill="FFFFFF"/>
          </w:tcPr>
          <w:p w14:paraId="53320FD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shd w:val="clear" w:color="auto" w:fill="FFFFFF"/>
          </w:tcPr>
          <w:p w14:paraId="429675A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XY-7</w:t>
            </w:r>
          </w:p>
        </w:tc>
        <w:tc>
          <w:tcPr>
            <w:tcW w:w="4395" w:type="dxa"/>
            <w:shd w:val="clear" w:color="auto" w:fill="FFFFFF"/>
          </w:tcPr>
          <w:p w14:paraId="212CA3F8"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14.07.2022. – tužba – Općinski radni sud u Zagrebu,</w:t>
            </w:r>
          </w:p>
          <w:p w14:paraId="489B3730"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26.08.2024. – presuda Općinskog radnog suda u Zagrebu u korist tužitelja,</w:t>
            </w:r>
          </w:p>
          <w:p w14:paraId="05A0FAF7"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11.09.2024. – žalba HAKOM-a – Županijski sud u Zagrebu,</w:t>
            </w:r>
          </w:p>
          <w:p w14:paraId="0BC896FF"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601926C8" w14:textId="77777777" w:rsidTr="00C77BC2">
        <w:tc>
          <w:tcPr>
            <w:tcW w:w="704" w:type="dxa"/>
          </w:tcPr>
          <w:p w14:paraId="4DBB845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8. </w:t>
            </w:r>
          </w:p>
        </w:tc>
        <w:tc>
          <w:tcPr>
            <w:tcW w:w="2098" w:type="dxa"/>
            <w:shd w:val="clear" w:color="auto" w:fill="FFFFFF"/>
          </w:tcPr>
          <w:p w14:paraId="2DD1F6F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740-01/22-01/39</w:t>
            </w:r>
          </w:p>
          <w:p w14:paraId="6AFB71DC"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Pr-2027/2022</w:t>
            </w:r>
          </w:p>
        </w:tc>
        <w:tc>
          <w:tcPr>
            <w:tcW w:w="2126" w:type="dxa"/>
            <w:shd w:val="clear" w:color="auto" w:fill="FFFFFF"/>
          </w:tcPr>
          <w:p w14:paraId="4B4BFDDB"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 xml:space="preserve">Radno </w:t>
            </w:r>
          </w:p>
          <w:p w14:paraId="3D569AF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(isplata)</w:t>
            </w:r>
          </w:p>
        </w:tc>
        <w:tc>
          <w:tcPr>
            <w:tcW w:w="2183" w:type="dxa"/>
            <w:shd w:val="clear" w:color="auto" w:fill="FFFFFF"/>
          </w:tcPr>
          <w:p w14:paraId="3E84D35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37.062,45 EUR</w:t>
            </w:r>
          </w:p>
          <w:p w14:paraId="08ACC558" w14:textId="77777777" w:rsidR="00C77BC2" w:rsidRPr="00C77BC2" w:rsidRDefault="00C77BC2" w:rsidP="00C77BC2">
            <w:pPr>
              <w:jc w:val="center"/>
              <w:rPr>
                <w:rFonts w:ascii="Times New Roman" w:eastAsia="Calibri" w:hAnsi="Times New Roman" w:cs="Times New Roman"/>
                <w:sz w:val="18"/>
                <w:szCs w:val="18"/>
              </w:rPr>
            </w:pPr>
          </w:p>
        </w:tc>
        <w:tc>
          <w:tcPr>
            <w:tcW w:w="1177" w:type="dxa"/>
            <w:shd w:val="clear" w:color="auto" w:fill="FFFFFF"/>
          </w:tcPr>
          <w:p w14:paraId="671B636F"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shd w:val="clear" w:color="auto" w:fill="FFFFFF"/>
          </w:tcPr>
          <w:p w14:paraId="20C2887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XY-8</w:t>
            </w:r>
          </w:p>
        </w:tc>
        <w:tc>
          <w:tcPr>
            <w:tcW w:w="4395" w:type="dxa"/>
            <w:shd w:val="clear" w:color="auto" w:fill="FFFFFF"/>
          </w:tcPr>
          <w:p w14:paraId="61F93F33"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17.10.2022. – tužba – Općinski radni sud u Zagrebu,</w:t>
            </w:r>
          </w:p>
          <w:p w14:paraId="31FA73CD"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06.02.2025. – ročište za raspravu,</w:t>
            </w:r>
          </w:p>
          <w:p w14:paraId="70394501"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63A58999" w14:textId="77777777" w:rsidTr="00C77BC2">
        <w:tc>
          <w:tcPr>
            <w:tcW w:w="704" w:type="dxa"/>
          </w:tcPr>
          <w:p w14:paraId="3FF1A46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9.</w:t>
            </w:r>
          </w:p>
        </w:tc>
        <w:tc>
          <w:tcPr>
            <w:tcW w:w="2098" w:type="dxa"/>
            <w:shd w:val="clear" w:color="auto" w:fill="FFFFFF"/>
          </w:tcPr>
          <w:p w14:paraId="343C7316"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114-02/18-01/04</w:t>
            </w:r>
          </w:p>
          <w:p w14:paraId="0E17D5E8"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Ovr-931/2022</w:t>
            </w:r>
          </w:p>
          <w:p w14:paraId="4375E0A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Ovr-1330/2022</w:t>
            </w:r>
          </w:p>
        </w:tc>
        <w:tc>
          <w:tcPr>
            <w:tcW w:w="2126" w:type="dxa"/>
            <w:shd w:val="clear" w:color="auto" w:fill="FFFFFF"/>
          </w:tcPr>
          <w:p w14:paraId="1C372E9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Ovrha radi vraćanja na rad odnosno u službu</w:t>
            </w:r>
          </w:p>
        </w:tc>
        <w:tc>
          <w:tcPr>
            <w:tcW w:w="2183" w:type="dxa"/>
            <w:shd w:val="clear" w:color="auto" w:fill="FFFFFF"/>
          </w:tcPr>
          <w:p w14:paraId="0C0265B8"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Nije određena</w:t>
            </w:r>
          </w:p>
        </w:tc>
        <w:tc>
          <w:tcPr>
            <w:tcW w:w="1177" w:type="dxa"/>
            <w:shd w:val="clear" w:color="auto" w:fill="FFFFFF"/>
          </w:tcPr>
          <w:p w14:paraId="5304ECA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shd w:val="clear" w:color="auto" w:fill="FFFFFF"/>
          </w:tcPr>
          <w:p w14:paraId="7EF8A8D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XY-9</w:t>
            </w:r>
          </w:p>
        </w:tc>
        <w:tc>
          <w:tcPr>
            <w:tcW w:w="4395" w:type="dxa"/>
            <w:shd w:val="clear" w:color="auto" w:fill="FFFFFF"/>
          </w:tcPr>
          <w:p w14:paraId="247189C9"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24.03.2022. – prijedlog za ovrhu – Općinski građanski sud u Zagrebu,</w:t>
            </w:r>
          </w:p>
          <w:p w14:paraId="32BFA37C"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09.09.2022. – Županijski sud u Zagrebu rješava o prijedlogu HAKOM-a za obustavu postupka,</w:t>
            </w:r>
          </w:p>
          <w:p w14:paraId="7CEFA01D"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02.10.2023. – rješenje Županijskog suda u Zagrebu –  odbijena žalba kao neosnovana - potvrđeno rješenje 1.st.</w:t>
            </w:r>
          </w:p>
          <w:p w14:paraId="0FDE7119"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2026. – procijenjeno vrijeme priljeva i odljeva sredstava.</w:t>
            </w:r>
          </w:p>
        </w:tc>
      </w:tr>
      <w:tr w:rsidR="00C77BC2" w:rsidRPr="00C77BC2" w14:paraId="58D43717" w14:textId="77777777" w:rsidTr="00C77BC2">
        <w:tc>
          <w:tcPr>
            <w:tcW w:w="704" w:type="dxa"/>
          </w:tcPr>
          <w:p w14:paraId="609C914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10.</w:t>
            </w:r>
          </w:p>
        </w:tc>
        <w:tc>
          <w:tcPr>
            <w:tcW w:w="2098" w:type="dxa"/>
            <w:shd w:val="clear" w:color="auto" w:fill="FFFFFF"/>
          </w:tcPr>
          <w:p w14:paraId="717EB47F"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Klasa: 114-02/22-01/01</w:t>
            </w:r>
          </w:p>
          <w:p w14:paraId="24DF6C91"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Pr-2290/2022</w:t>
            </w:r>
          </w:p>
          <w:p w14:paraId="2A54B70A"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Gž R-466/2024</w:t>
            </w:r>
          </w:p>
        </w:tc>
        <w:tc>
          <w:tcPr>
            <w:tcW w:w="2126" w:type="dxa"/>
            <w:shd w:val="clear" w:color="auto" w:fill="FFFFFF"/>
          </w:tcPr>
          <w:p w14:paraId="0EFED599"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Radno</w:t>
            </w:r>
          </w:p>
          <w:p w14:paraId="615515B0"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(otkaz)</w:t>
            </w:r>
          </w:p>
        </w:tc>
        <w:tc>
          <w:tcPr>
            <w:tcW w:w="2183" w:type="dxa"/>
            <w:shd w:val="clear" w:color="auto" w:fill="FFFFFF"/>
          </w:tcPr>
          <w:p w14:paraId="182DE93E"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Nije određena</w:t>
            </w:r>
          </w:p>
        </w:tc>
        <w:tc>
          <w:tcPr>
            <w:tcW w:w="1177" w:type="dxa"/>
            <w:shd w:val="clear" w:color="auto" w:fill="FFFFFF"/>
          </w:tcPr>
          <w:p w14:paraId="34599D02"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HAKOM</w:t>
            </w:r>
          </w:p>
        </w:tc>
        <w:tc>
          <w:tcPr>
            <w:tcW w:w="1701" w:type="dxa"/>
            <w:shd w:val="clear" w:color="auto" w:fill="FFFFFF"/>
          </w:tcPr>
          <w:p w14:paraId="6CE91304"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sz w:val="18"/>
                <w:szCs w:val="18"/>
              </w:rPr>
              <w:t>XY-10</w:t>
            </w:r>
          </w:p>
        </w:tc>
        <w:tc>
          <w:tcPr>
            <w:tcW w:w="4395" w:type="dxa"/>
            <w:shd w:val="clear" w:color="auto" w:fill="FFFFFF"/>
          </w:tcPr>
          <w:p w14:paraId="448B709F"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10.10.2022. – tužba – Općinski radni sud u Zagrebu,</w:t>
            </w:r>
          </w:p>
          <w:p w14:paraId="346C5A74"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27.06.2024.. – presuda Općinskog radnog suda u Zagrebu u korist HAKOM-a,</w:t>
            </w:r>
          </w:p>
          <w:p w14:paraId="3BD6F40D"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12.07.2024. – žalba tužiteljice – Županijski sud u Splitu,</w:t>
            </w:r>
          </w:p>
          <w:p w14:paraId="405D5D61"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sz w:val="18"/>
                <w:szCs w:val="18"/>
              </w:rPr>
              <w:t>2025. – procijenjeno vrijeme priljeva i odljeva sredstava.</w:t>
            </w:r>
          </w:p>
        </w:tc>
      </w:tr>
      <w:tr w:rsidR="00C77BC2" w:rsidRPr="00C77BC2" w14:paraId="138FF1B1" w14:textId="77777777" w:rsidTr="00C77BC2">
        <w:tc>
          <w:tcPr>
            <w:tcW w:w="704" w:type="dxa"/>
            <w:shd w:val="clear" w:color="auto" w:fill="D9D9D9"/>
          </w:tcPr>
          <w:p w14:paraId="605259ED" w14:textId="77777777" w:rsidR="00C77BC2" w:rsidRPr="00C77BC2" w:rsidRDefault="00C77BC2" w:rsidP="00C77BC2">
            <w:pPr>
              <w:jc w:val="center"/>
              <w:rPr>
                <w:rFonts w:ascii="Times New Roman" w:eastAsia="Calibri" w:hAnsi="Times New Roman" w:cs="Times New Roman"/>
                <w:sz w:val="18"/>
                <w:szCs w:val="18"/>
              </w:rPr>
            </w:pPr>
          </w:p>
        </w:tc>
        <w:tc>
          <w:tcPr>
            <w:tcW w:w="2098" w:type="dxa"/>
            <w:shd w:val="clear" w:color="auto" w:fill="D9D9D9"/>
          </w:tcPr>
          <w:p w14:paraId="5250BA81" w14:textId="77777777" w:rsidR="00C77BC2" w:rsidRPr="00C77BC2" w:rsidRDefault="00C77BC2" w:rsidP="00C77BC2">
            <w:pPr>
              <w:jc w:val="center"/>
              <w:rPr>
                <w:rFonts w:ascii="Times New Roman" w:eastAsia="Calibri" w:hAnsi="Times New Roman" w:cs="Times New Roman"/>
                <w:sz w:val="18"/>
                <w:szCs w:val="18"/>
              </w:rPr>
            </w:pPr>
          </w:p>
        </w:tc>
        <w:tc>
          <w:tcPr>
            <w:tcW w:w="2126" w:type="dxa"/>
            <w:shd w:val="clear" w:color="auto" w:fill="D9D9D9"/>
            <w:vAlign w:val="center"/>
          </w:tcPr>
          <w:p w14:paraId="7E0FC5CB" w14:textId="77777777" w:rsidR="00C77BC2" w:rsidRPr="00C77BC2" w:rsidRDefault="00C77BC2" w:rsidP="00C77BC2">
            <w:pPr>
              <w:jc w:val="center"/>
              <w:rPr>
                <w:rFonts w:ascii="Times New Roman" w:eastAsia="Calibri" w:hAnsi="Times New Roman" w:cs="Times New Roman"/>
                <w:sz w:val="18"/>
                <w:szCs w:val="18"/>
              </w:rPr>
            </w:pPr>
            <w:r w:rsidRPr="00C77BC2">
              <w:rPr>
                <w:rFonts w:ascii="Times New Roman" w:eastAsia="Calibri" w:hAnsi="Times New Roman" w:cs="Times New Roman"/>
                <w:b/>
                <w:sz w:val="24"/>
                <w:szCs w:val="24"/>
              </w:rPr>
              <w:t>UKUPNO:</w:t>
            </w:r>
          </w:p>
        </w:tc>
        <w:tc>
          <w:tcPr>
            <w:tcW w:w="2183" w:type="dxa"/>
            <w:shd w:val="clear" w:color="auto" w:fill="D9D9D9"/>
            <w:vAlign w:val="center"/>
          </w:tcPr>
          <w:p w14:paraId="3E240245" w14:textId="77777777" w:rsidR="00C77BC2" w:rsidRPr="00C77BC2" w:rsidRDefault="00C77BC2" w:rsidP="00C77BC2">
            <w:pPr>
              <w:jc w:val="center"/>
              <w:rPr>
                <w:rFonts w:ascii="Times New Roman" w:eastAsia="Calibri" w:hAnsi="Times New Roman" w:cs="Times New Roman"/>
                <w:b/>
                <w:sz w:val="24"/>
                <w:szCs w:val="24"/>
              </w:rPr>
            </w:pPr>
            <w:r w:rsidRPr="00C77BC2">
              <w:rPr>
                <w:rFonts w:ascii="Times New Roman" w:eastAsia="Calibri" w:hAnsi="Times New Roman" w:cs="Times New Roman"/>
                <w:b/>
                <w:sz w:val="24"/>
                <w:szCs w:val="24"/>
              </w:rPr>
              <w:t>132.409,90 EUR</w:t>
            </w:r>
          </w:p>
        </w:tc>
        <w:tc>
          <w:tcPr>
            <w:tcW w:w="1177" w:type="dxa"/>
            <w:shd w:val="clear" w:color="auto" w:fill="D9D9D9"/>
          </w:tcPr>
          <w:p w14:paraId="0677DEEC" w14:textId="77777777" w:rsidR="00C77BC2" w:rsidRPr="00C77BC2" w:rsidRDefault="00C77BC2" w:rsidP="00C77BC2">
            <w:pPr>
              <w:jc w:val="center"/>
              <w:rPr>
                <w:rFonts w:ascii="Times New Roman" w:eastAsia="Calibri" w:hAnsi="Times New Roman" w:cs="Times New Roman"/>
                <w:sz w:val="18"/>
                <w:szCs w:val="18"/>
              </w:rPr>
            </w:pPr>
          </w:p>
        </w:tc>
        <w:tc>
          <w:tcPr>
            <w:tcW w:w="1701" w:type="dxa"/>
            <w:shd w:val="clear" w:color="auto" w:fill="D9D9D9"/>
          </w:tcPr>
          <w:p w14:paraId="3FAFACA5" w14:textId="77777777" w:rsidR="00C77BC2" w:rsidRPr="00C77BC2" w:rsidRDefault="00C77BC2" w:rsidP="00C77BC2">
            <w:pPr>
              <w:jc w:val="center"/>
              <w:rPr>
                <w:rFonts w:ascii="Times New Roman" w:eastAsia="Calibri" w:hAnsi="Times New Roman" w:cs="Times New Roman"/>
                <w:sz w:val="18"/>
                <w:szCs w:val="18"/>
              </w:rPr>
            </w:pPr>
          </w:p>
        </w:tc>
        <w:tc>
          <w:tcPr>
            <w:tcW w:w="4395" w:type="dxa"/>
            <w:shd w:val="clear" w:color="auto" w:fill="D9D9D9"/>
          </w:tcPr>
          <w:p w14:paraId="517F1686" w14:textId="77777777" w:rsidR="00C77BC2" w:rsidRPr="00C77BC2" w:rsidRDefault="00C77BC2" w:rsidP="00C77BC2">
            <w:pPr>
              <w:jc w:val="both"/>
              <w:rPr>
                <w:rFonts w:ascii="Times New Roman" w:eastAsia="Calibri" w:hAnsi="Times New Roman" w:cs="Times New Roman"/>
                <w:sz w:val="18"/>
                <w:szCs w:val="18"/>
              </w:rPr>
            </w:pPr>
            <w:r w:rsidRPr="00C77BC2">
              <w:rPr>
                <w:rFonts w:ascii="Times New Roman" w:eastAsia="Calibri" w:hAnsi="Times New Roman" w:cs="Times New Roman"/>
                <w:b/>
                <w:sz w:val="18"/>
                <w:szCs w:val="18"/>
              </w:rPr>
              <w:t xml:space="preserve">NAPOMENA: </w:t>
            </w:r>
            <w:r w:rsidRPr="00C77BC2">
              <w:rPr>
                <w:rFonts w:ascii="Times New Roman" w:eastAsia="Calibri" w:hAnsi="Times New Roman" w:cs="Times New Roman"/>
                <w:sz w:val="18"/>
                <w:szCs w:val="18"/>
              </w:rPr>
              <w:t>uz ukupan iznos procjene financijskog učinka treba računati na kamate i parnične troškove.</w:t>
            </w:r>
          </w:p>
        </w:tc>
      </w:tr>
    </w:tbl>
    <w:p w14:paraId="45460E88" w14:textId="77777777" w:rsidR="001B2FC7" w:rsidRPr="004A6E08" w:rsidRDefault="001B2FC7" w:rsidP="001B2FC7">
      <w:pPr>
        <w:spacing w:after="0" w:line="240" w:lineRule="auto"/>
        <w:jc w:val="center"/>
        <w:rPr>
          <w:rFonts w:cstheme="minorHAnsi"/>
        </w:rPr>
      </w:pPr>
    </w:p>
    <w:p w14:paraId="1CD530B4" w14:textId="3A2B9CEF" w:rsidR="001B2FC7" w:rsidRDefault="001B2FC7" w:rsidP="001B2FC7">
      <w:pPr>
        <w:rPr>
          <w:rFonts w:cstheme="minorHAnsi"/>
        </w:rPr>
      </w:pPr>
    </w:p>
    <w:p w14:paraId="363040EF" w14:textId="6664983B" w:rsidR="009474F4" w:rsidRDefault="009474F4">
      <w:pPr>
        <w:rPr>
          <w:rFonts w:cstheme="minorHAnsi"/>
        </w:rPr>
      </w:pPr>
      <w:r>
        <w:rPr>
          <w:rFonts w:cstheme="minorHAnsi"/>
        </w:rPr>
        <w:br w:type="page"/>
      </w:r>
    </w:p>
    <w:p w14:paraId="6E2C9759" w14:textId="77777777" w:rsidR="009474F4" w:rsidRDefault="009474F4" w:rsidP="001B2FC7">
      <w:pPr>
        <w:pStyle w:val="Heading2"/>
        <w:numPr>
          <w:ilvl w:val="1"/>
          <w:numId w:val="25"/>
        </w:numPr>
        <w:rPr>
          <w:rFonts w:asciiTheme="minorHAnsi" w:hAnsiTheme="minorHAnsi" w:cstheme="minorHAnsi"/>
          <w:b/>
          <w:sz w:val="22"/>
          <w:szCs w:val="22"/>
        </w:rPr>
        <w:sectPr w:rsidR="009474F4" w:rsidSect="005165CC">
          <w:pgSz w:w="15840" w:h="12240" w:orient="landscape" w:code="1"/>
          <w:pgMar w:top="851" w:right="567" w:bottom="851" w:left="992" w:header="720" w:footer="720" w:gutter="0"/>
          <w:pgNumType w:chapStyle="1"/>
          <w:cols w:space="720"/>
          <w:docGrid w:linePitch="360"/>
        </w:sectPr>
      </w:pPr>
    </w:p>
    <w:p w14:paraId="086386B6" w14:textId="09DC9429" w:rsidR="001B2FC7" w:rsidRDefault="001B2FC7" w:rsidP="001B2FC7">
      <w:pPr>
        <w:pStyle w:val="Heading2"/>
        <w:numPr>
          <w:ilvl w:val="1"/>
          <w:numId w:val="25"/>
        </w:numPr>
        <w:rPr>
          <w:rFonts w:asciiTheme="minorHAnsi" w:hAnsiTheme="minorHAnsi" w:cstheme="minorHAnsi"/>
          <w:b/>
          <w:sz w:val="22"/>
          <w:szCs w:val="22"/>
        </w:rPr>
      </w:pPr>
      <w:bookmarkStart w:id="22" w:name="_Toc193802960"/>
      <w:r w:rsidRPr="004A6E08">
        <w:rPr>
          <w:rFonts w:asciiTheme="minorHAnsi" w:hAnsiTheme="minorHAnsi" w:cstheme="minorHAnsi"/>
          <w:b/>
          <w:sz w:val="22"/>
          <w:szCs w:val="22"/>
        </w:rPr>
        <w:lastRenderedPageBreak/>
        <w:t>Izvještaj o danim jamstvima i plaćanjima po protestiranim jamstvima</w:t>
      </w:r>
      <w:bookmarkEnd w:id="22"/>
    </w:p>
    <w:p w14:paraId="1762EABD" w14:textId="77777777" w:rsidR="00F647B0" w:rsidRPr="00F647B0" w:rsidRDefault="00F647B0" w:rsidP="00F647B0"/>
    <w:p w14:paraId="2278C7C7" w14:textId="25D33A46" w:rsidR="00F647B0" w:rsidRPr="004A6E08" w:rsidRDefault="0098716C" w:rsidP="00F647B0">
      <w:pPr>
        <w:rPr>
          <w:rFonts w:cstheme="minorHAnsi"/>
          <w:lang w:eastAsia="hr-HR"/>
        </w:rPr>
      </w:pPr>
      <w:r>
        <w:rPr>
          <w:rFonts w:cstheme="minorHAnsi"/>
          <w:lang w:eastAsia="hr-HR"/>
        </w:rPr>
        <w:t>U 2024</w:t>
      </w:r>
      <w:r w:rsidR="00F647B0" w:rsidRPr="004A6E08">
        <w:rPr>
          <w:rFonts w:cstheme="minorHAnsi"/>
          <w:lang w:eastAsia="hr-HR"/>
        </w:rPr>
        <w:t xml:space="preserve">. godini HAKOM nema danih </w:t>
      </w:r>
      <w:r w:rsidR="00F647B0">
        <w:rPr>
          <w:rFonts w:cstheme="minorHAnsi"/>
          <w:lang w:eastAsia="hr-HR"/>
        </w:rPr>
        <w:t>jamstava i plaćanja po protestiranim jamstvima.</w:t>
      </w:r>
    </w:p>
    <w:p w14:paraId="152E5770" w14:textId="44F5C90F" w:rsidR="001B2FC7" w:rsidRDefault="001B2FC7" w:rsidP="001B2FC7">
      <w:pPr>
        <w:rPr>
          <w:rFonts w:cstheme="minorHAnsi"/>
        </w:rPr>
      </w:pPr>
    </w:p>
    <w:p w14:paraId="242F1872" w14:textId="77777777" w:rsidR="00381D48" w:rsidRPr="004A6E08" w:rsidRDefault="00381D48" w:rsidP="001B2FC7">
      <w:pPr>
        <w:rPr>
          <w:rFonts w:cstheme="minorHAnsi"/>
        </w:rPr>
      </w:pPr>
      <w:bookmarkStart w:id="23" w:name="_GoBack"/>
      <w:bookmarkEnd w:id="23"/>
    </w:p>
    <w:sectPr w:rsidR="00381D48" w:rsidRPr="004A6E08" w:rsidSect="009474F4">
      <w:pgSz w:w="12240" w:h="15840" w:code="1"/>
      <w:pgMar w:top="567" w:right="851" w:bottom="992" w:left="851"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DD79" w14:textId="77777777" w:rsidR="00F37E37" w:rsidRDefault="00F37E37" w:rsidP="00B10AD2">
      <w:pPr>
        <w:spacing w:after="0" w:line="240" w:lineRule="auto"/>
      </w:pPr>
      <w:r>
        <w:separator/>
      </w:r>
    </w:p>
  </w:endnote>
  <w:endnote w:type="continuationSeparator" w:id="0">
    <w:p w14:paraId="1E3AABF5" w14:textId="77777777" w:rsidR="00F37E37" w:rsidRDefault="00F37E37" w:rsidP="00B1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AA9FF" w14:textId="77777777" w:rsidR="00F37E37" w:rsidRDefault="00F37E37" w:rsidP="00B10AD2">
      <w:pPr>
        <w:spacing w:after="0" w:line="240" w:lineRule="auto"/>
      </w:pPr>
      <w:r>
        <w:separator/>
      </w:r>
    </w:p>
  </w:footnote>
  <w:footnote w:type="continuationSeparator" w:id="0">
    <w:p w14:paraId="25FB96DB" w14:textId="77777777" w:rsidR="00F37E37" w:rsidRDefault="00F37E37" w:rsidP="00B10AD2">
      <w:pPr>
        <w:spacing w:after="0" w:line="240" w:lineRule="auto"/>
      </w:pPr>
      <w:r>
        <w:continuationSeparator/>
      </w:r>
    </w:p>
  </w:footnote>
  <w:footnote w:id="1">
    <w:p w14:paraId="3C113F65" w14:textId="77777777" w:rsidR="005658F6" w:rsidRPr="00F163DE" w:rsidRDefault="005658F6" w:rsidP="005658F6">
      <w:pPr>
        <w:spacing w:after="0"/>
        <w:rPr>
          <w:rFonts w:cstheme="minorHAnsi"/>
          <w:sz w:val="20"/>
        </w:rPr>
      </w:pPr>
      <w:r>
        <w:rPr>
          <w:rStyle w:val="FootnoteReference"/>
        </w:rPr>
        <w:footnoteRef/>
      </w:r>
      <w:r>
        <w:t xml:space="preserve"> </w:t>
      </w:r>
      <w:r w:rsidRPr="00F163DE">
        <w:rPr>
          <w:rFonts w:cstheme="minorHAnsi"/>
          <w:sz w:val="20"/>
        </w:rPr>
        <w:t>Mreža poštanskih ureda mora biti ustrojena tako da jedan poštanski ured posluje u prosjeku na površini najviše</w:t>
      </w:r>
      <w:r>
        <w:rPr>
          <w:rFonts w:cstheme="minorHAnsi"/>
          <w:sz w:val="20"/>
        </w:rPr>
        <w:t xml:space="preserve"> </w:t>
      </w:r>
      <w:r w:rsidRPr="00F163DE">
        <w:rPr>
          <w:rFonts w:cstheme="minorHAnsi"/>
          <w:sz w:val="20"/>
        </w:rPr>
        <w:t>do 80 km², odnosno</w:t>
      </w:r>
      <w:r>
        <w:rPr>
          <w:rFonts w:cstheme="minorHAnsi"/>
          <w:sz w:val="20"/>
        </w:rPr>
        <w:t xml:space="preserve"> </w:t>
      </w:r>
      <w:r w:rsidRPr="00F163DE">
        <w:rPr>
          <w:rFonts w:cstheme="minorHAnsi"/>
          <w:sz w:val="20"/>
        </w:rPr>
        <w:t>za najviše 6000 stanovnika te da mora biti minimalno 700 redovitih poštanskih ureda</w:t>
      </w:r>
    </w:p>
    <w:p w14:paraId="7CB9D4E3" w14:textId="77777777" w:rsidR="005658F6" w:rsidRDefault="005658F6" w:rsidP="005658F6">
      <w:pPr>
        <w:pStyle w:val="FootnoteText"/>
      </w:pPr>
    </w:p>
  </w:footnote>
  <w:footnote w:id="2">
    <w:p w14:paraId="1437D311" w14:textId="77777777" w:rsidR="000F7E6F" w:rsidRDefault="000F7E6F" w:rsidP="00C77BC2">
      <w:pPr>
        <w:pStyle w:val="FootnoteText"/>
      </w:pPr>
      <w:r>
        <w:rPr>
          <w:rStyle w:val="FootnoteReference"/>
        </w:rPr>
        <w:footnoteRef/>
      </w:r>
      <w:r>
        <w:t xml:space="preserve"> </w:t>
      </w:r>
      <w:r w:rsidRPr="00973222">
        <w:rPr>
          <w:sz w:val="18"/>
          <w:szCs w:val="18"/>
        </w:rPr>
        <w:t>Podaci o tužitelju su anonimizirani u svrhu zaštite osobnih podataka fizičkih osoba, sukladno propisima koji uređuju zaštitu osobnih podataka.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619600"/>
      <w:docPartObj>
        <w:docPartGallery w:val="Page Numbers (Top of Page)"/>
        <w:docPartUnique/>
      </w:docPartObj>
    </w:sdtPr>
    <w:sdtEndPr>
      <w:rPr>
        <w:noProof/>
      </w:rPr>
    </w:sdtEndPr>
    <w:sdtContent>
      <w:p w14:paraId="51BB2653" w14:textId="77777777" w:rsidR="000F7E6F" w:rsidRDefault="000F7E6F">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13BA1C0A" w14:textId="77777777" w:rsidR="000F7E6F" w:rsidRDefault="000F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824078"/>
      <w:docPartObj>
        <w:docPartGallery w:val="Page Numbers (Top of Page)"/>
        <w:docPartUnique/>
      </w:docPartObj>
    </w:sdtPr>
    <w:sdtEndPr>
      <w:rPr>
        <w:noProof/>
      </w:rPr>
    </w:sdtEndPr>
    <w:sdtContent>
      <w:p w14:paraId="56043F66" w14:textId="1578E4A4" w:rsidR="000F7E6F" w:rsidRDefault="000F7E6F">
        <w:pPr>
          <w:pStyle w:val="Header"/>
          <w:jc w:val="right"/>
        </w:pPr>
        <w:r>
          <w:fldChar w:fldCharType="begin"/>
        </w:r>
        <w:r>
          <w:instrText xml:space="preserve"> PAGE   \* MERGEFORMAT </w:instrText>
        </w:r>
        <w:r>
          <w:fldChar w:fldCharType="separate"/>
        </w:r>
        <w:r w:rsidR="00760C44">
          <w:rPr>
            <w:noProof/>
          </w:rPr>
          <w:t>20</w:t>
        </w:r>
        <w:r>
          <w:rPr>
            <w:noProof/>
          </w:rPr>
          <w:fldChar w:fldCharType="end"/>
        </w:r>
      </w:p>
    </w:sdtContent>
  </w:sdt>
  <w:p w14:paraId="7C010E82" w14:textId="77777777" w:rsidR="000F7E6F" w:rsidRDefault="000F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27"/>
    <w:multiLevelType w:val="multilevel"/>
    <w:tmpl w:val="0409001F"/>
    <w:numStyleLink w:val="Style1"/>
  </w:abstractNum>
  <w:abstractNum w:abstractNumId="1" w15:restartNumberingAfterBreak="0">
    <w:nsid w:val="07C1357B"/>
    <w:multiLevelType w:val="hybridMultilevel"/>
    <w:tmpl w:val="D37CC7FE"/>
    <w:lvl w:ilvl="0" w:tplc="ADE6D4F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31912"/>
    <w:multiLevelType w:val="hybridMultilevel"/>
    <w:tmpl w:val="F066F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816010"/>
    <w:multiLevelType w:val="multilevel"/>
    <w:tmpl w:val="90DCD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90C62"/>
    <w:multiLevelType w:val="hybridMultilevel"/>
    <w:tmpl w:val="28966BA0"/>
    <w:lvl w:ilvl="0" w:tplc="A9B62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3D5834"/>
    <w:multiLevelType w:val="hybridMultilevel"/>
    <w:tmpl w:val="F8522E54"/>
    <w:lvl w:ilvl="0" w:tplc="04090015">
      <w:start w:val="1"/>
      <w:numFmt w:val="upperLetter"/>
      <w:lvlText w:val="%1."/>
      <w:lvlJc w:val="left"/>
      <w:pPr>
        <w:ind w:left="1512" w:hanging="360"/>
      </w:pPr>
    </w:lvl>
    <w:lvl w:ilvl="1" w:tplc="041A0019" w:tentative="1">
      <w:start w:val="1"/>
      <w:numFmt w:val="lowerLetter"/>
      <w:lvlText w:val="%2."/>
      <w:lvlJc w:val="left"/>
      <w:pPr>
        <w:ind w:left="2232" w:hanging="360"/>
      </w:pPr>
    </w:lvl>
    <w:lvl w:ilvl="2" w:tplc="041A001B" w:tentative="1">
      <w:start w:val="1"/>
      <w:numFmt w:val="lowerRoman"/>
      <w:lvlText w:val="%3."/>
      <w:lvlJc w:val="right"/>
      <w:pPr>
        <w:ind w:left="2952" w:hanging="180"/>
      </w:pPr>
    </w:lvl>
    <w:lvl w:ilvl="3" w:tplc="041A000F" w:tentative="1">
      <w:start w:val="1"/>
      <w:numFmt w:val="decimal"/>
      <w:lvlText w:val="%4."/>
      <w:lvlJc w:val="left"/>
      <w:pPr>
        <w:ind w:left="3672" w:hanging="360"/>
      </w:pPr>
    </w:lvl>
    <w:lvl w:ilvl="4" w:tplc="041A0019" w:tentative="1">
      <w:start w:val="1"/>
      <w:numFmt w:val="lowerLetter"/>
      <w:lvlText w:val="%5."/>
      <w:lvlJc w:val="left"/>
      <w:pPr>
        <w:ind w:left="4392" w:hanging="360"/>
      </w:pPr>
    </w:lvl>
    <w:lvl w:ilvl="5" w:tplc="041A001B" w:tentative="1">
      <w:start w:val="1"/>
      <w:numFmt w:val="lowerRoman"/>
      <w:lvlText w:val="%6."/>
      <w:lvlJc w:val="right"/>
      <w:pPr>
        <w:ind w:left="5112" w:hanging="180"/>
      </w:pPr>
    </w:lvl>
    <w:lvl w:ilvl="6" w:tplc="041A000F" w:tentative="1">
      <w:start w:val="1"/>
      <w:numFmt w:val="decimal"/>
      <w:lvlText w:val="%7."/>
      <w:lvlJc w:val="left"/>
      <w:pPr>
        <w:ind w:left="5832" w:hanging="360"/>
      </w:pPr>
    </w:lvl>
    <w:lvl w:ilvl="7" w:tplc="041A0019" w:tentative="1">
      <w:start w:val="1"/>
      <w:numFmt w:val="lowerLetter"/>
      <w:lvlText w:val="%8."/>
      <w:lvlJc w:val="left"/>
      <w:pPr>
        <w:ind w:left="6552" w:hanging="360"/>
      </w:pPr>
    </w:lvl>
    <w:lvl w:ilvl="8" w:tplc="041A001B" w:tentative="1">
      <w:start w:val="1"/>
      <w:numFmt w:val="lowerRoman"/>
      <w:lvlText w:val="%9."/>
      <w:lvlJc w:val="right"/>
      <w:pPr>
        <w:ind w:left="7272" w:hanging="180"/>
      </w:pPr>
    </w:lvl>
  </w:abstractNum>
  <w:abstractNum w:abstractNumId="6" w15:restartNumberingAfterBreak="0">
    <w:nsid w:val="16B606D9"/>
    <w:multiLevelType w:val="multilevel"/>
    <w:tmpl w:val="90DCD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40E43"/>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5701B"/>
    <w:multiLevelType w:val="hybridMultilevel"/>
    <w:tmpl w:val="FF2280B0"/>
    <w:lvl w:ilvl="0" w:tplc="ADE6D4F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7968FD"/>
    <w:multiLevelType w:val="multilevel"/>
    <w:tmpl w:val="0409001F"/>
    <w:styleLink w:val="Style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136B7"/>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431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20003D"/>
    <w:multiLevelType w:val="hybridMultilevel"/>
    <w:tmpl w:val="AFF4A1DA"/>
    <w:lvl w:ilvl="0" w:tplc="0409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228637D"/>
    <w:multiLevelType w:val="hybridMultilevel"/>
    <w:tmpl w:val="0318263C"/>
    <w:lvl w:ilvl="0" w:tplc="041A000B">
      <w:start w:val="1"/>
      <w:numFmt w:val="bullet"/>
      <w:lvlText w:val=""/>
      <w:lvlJc w:val="left"/>
      <w:pPr>
        <w:ind w:left="420" w:hanging="360"/>
      </w:pPr>
      <w:rPr>
        <w:rFonts w:ascii="Wingdings" w:hAnsi="Wingdings"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33155973"/>
    <w:multiLevelType w:val="multilevel"/>
    <w:tmpl w:val="0409001F"/>
    <w:numStyleLink w:val="Style1"/>
  </w:abstractNum>
  <w:abstractNum w:abstractNumId="15" w15:restartNumberingAfterBreak="0">
    <w:nsid w:val="350E2AF0"/>
    <w:multiLevelType w:val="hybridMultilevel"/>
    <w:tmpl w:val="07B65104"/>
    <w:lvl w:ilvl="0" w:tplc="0409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3AEC4294"/>
    <w:multiLevelType w:val="hybridMultilevel"/>
    <w:tmpl w:val="CA466648"/>
    <w:lvl w:ilvl="0" w:tplc="0409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B91C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0C06DF"/>
    <w:multiLevelType w:val="hybridMultilevel"/>
    <w:tmpl w:val="879E276A"/>
    <w:lvl w:ilvl="0" w:tplc="0409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666DEF"/>
    <w:multiLevelType w:val="multilevel"/>
    <w:tmpl w:val="041A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D84F1A"/>
    <w:multiLevelType w:val="multilevel"/>
    <w:tmpl w:val="0409001F"/>
    <w:numStyleLink w:val="Style3"/>
  </w:abstractNum>
  <w:abstractNum w:abstractNumId="21" w15:restartNumberingAfterBreak="0">
    <w:nsid w:val="4C9C3B3D"/>
    <w:multiLevelType w:val="hybridMultilevel"/>
    <w:tmpl w:val="9B0224B8"/>
    <w:lvl w:ilvl="0" w:tplc="04090015">
      <w:start w:val="1"/>
      <w:numFmt w:val="upp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CA406D8"/>
    <w:multiLevelType w:val="multilevel"/>
    <w:tmpl w:val="A4861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241F7B"/>
    <w:multiLevelType w:val="multilevel"/>
    <w:tmpl w:val="0409001F"/>
    <w:numStyleLink w:val="Style1"/>
  </w:abstractNum>
  <w:abstractNum w:abstractNumId="24" w15:restartNumberingAfterBreak="0">
    <w:nsid w:val="52AF5724"/>
    <w:multiLevelType w:val="multilevel"/>
    <w:tmpl w:val="90DCD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FB20BF"/>
    <w:multiLevelType w:val="hybridMultilevel"/>
    <w:tmpl w:val="E68AD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C3329B"/>
    <w:multiLevelType w:val="hybridMultilevel"/>
    <w:tmpl w:val="4FCC9CD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C111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02E90"/>
    <w:multiLevelType w:val="hybridMultilevel"/>
    <w:tmpl w:val="FB78E556"/>
    <w:lvl w:ilvl="0" w:tplc="ADE6D4F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3D72AC"/>
    <w:multiLevelType w:val="multilevel"/>
    <w:tmpl w:val="0409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B15F92"/>
    <w:multiLevelType w:val="hybridMultilevel"/>
    <w:tmpl w:val="12549D2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E3278A"/>
    <w:multiLevelType w:val="hybridMultilevel"/>
    <w:tmpl w:val="11809996"/>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505D6B"/>
    <w:multiLevelType w:val="hybridMultilevel"/>
    <w:tmpl w:val="28665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264F39"/>
    <w:multiLevelType w:val="hybridMultilevel"/>
    <w:tmpl w:val="155A8C62"/>
    <w:lvl w:ilvl="0" w:tplc="ADE6D4F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A274BE"/>
    <w:multiLevelType w:val="multilevel"/>
    <w:tmpl w:val="041A001D"/>
    <w:styleLink w:val="Style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1B6F77"/>
    <w:multiLevelType w:val="multilevel"/>
    <w:tmpl w:val="D74636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B216CD"/>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2A6456"/>
    <w:multiLevelType w:val="hybridMultilevel"/>
    <w:tmpl w:val="E7B6DAD4"/>
    <w:lvl w:ilvl="0" w:tplc="A9B62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40230A3"/>
    <w:multiLevelType w:val="multilevel"/>
    <w:tmpl w:val="041A001D"/>
    <w:numStyleLink w:val="Style5"/>
  </w:abstractNum>
  <w:abstractNum w:abstractNumId="39" w15:restartNumberingAfterBreak="0">
    <w:nsid w:val="75FA3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6075B5"/>
    <w:multiLevelType w:val="hybridMultilevel"/>
    <w:tmpl w:val="FB4AE190"/>
    <w:lvl w:ilvl="0" w:tplc="0409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B81E36"/>
    <w:multiLevelType w:val="multilevel"/>
    <w:tmpl w:val="D74636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39"/>
  </w:num>
  <w:num w:numId="3">
    <w:abstractNumId w:val="18"/>
  </w:num>
  <w:num w:numId="4">
    <w:abstractNumId w:val="11"/>
  </w:num>
  <w:num w:numId="5">
    <w:abstractNumId w:val="5"/>
  </w:num>
  <w:num w:numId="6">
    <w:abstractNumId w:val="31"/>
  </w:num>
  <w:num w:numId="7">
    <w:abstractNumId w:val="12"/>
  </w:num>
  <w:num w:numId="8">
    <w:abstractNumId w:val="16"/>
  </w:num>
  <w:num w:numId="9">
    <w:abstractNumId w:val="14"/>
  </w:num>
  <w:num w:numId="10">
    <w:abstractNumId w:val="40"/>
  </w:num>
  <w:num w:numId="11">
    <w:abstractNumId w:val="21"/>
  </w:num>
  <w:num w:numId="12">
    <w:abstractNumId w:val="8"/>
  </w:num>
  <w:num w:numId="13">
    <w:abstractNumId w:val="33"/>
  </w:num>
  <w:num w:numId="14">
    <w:abstractNumId w:val="25"/>
  </w:num>
  <w:num w:numId="15">
    <w:abstractNumId w:val="4"/>
  </w:num>
  <w:num w:numId="16">
    <w:abstractNumId w:val="15"/>
  </w:num>
  <w:num w:numId="17">
    <w:abstractNumId w:val="17"/>
  </w:num>
  <w:num w:numId="18">
    <w:abstractNumId w:val="3"/>
  </w:num>
  <w:num w:numId="19">
    <w:abstractNumId w:val="10"/>
  </w:num>
  <w:num w:numId="20">
    <w:abstractNumId w:val="19"/>
  </w:num>
  <w:num w:numId="21">
    <w:abstractNumId w:val="20"/>
  </w:num>
  <w:num w:numId="22">
    <w:abstractNumId w:val="29"/>
  </w:num>
  <w:num w:numId="23">
    <w:abstractNumId w:val="27"/>
  </w:num>
  <w:num w:numId="24">
    <w:abstractNumId w:val="2"/>
  </w:num>
  <w:num w:numId="25">
    <w:abstractNumId w:val="23"/>
  </w:num>
  <w:num w:numId="26">
    <w:abstractNumId w:val="9"/>
  </w:num>
  <w:num w:numId="27">
    <w:abstractNumId w:val="34"/>
  </w:num>
  <w:num w:numId="28">
    <w:abstractNumId w:val="38"/>
  </w:num>
  <w:num w:numId="29">
    <w:abstractNumId w:val="0"/>
  </w:num>
  <w:num w:numId="30">
    <w:abstractNumId w:val="26"/>
  </w:num>
  <w:num w:numId="31">
    <w:abstractNumId w:val="36"/>
  </w:num>
  <w:num w:numId="32">
    <w:abstractNumId w:val="35"/>
  </w:num>
  <w:num w:numId="33">
    <w:abstractNumId w:val="41"/>
  </w:num>
  <w:num w:numId="34">
    <w:abstractNumId w:val="7"/>
  </w:num>
  <w:num w:numId="35">
    <w:abstractNumId w:val="6"/>
  </w:num>
  <w:num w:numId="36">
    <w:abstractNumId w:val="13"/>
  </w:num>
  <w:num w:numId="37">
    <w:abstractNumId w:val="37"/>
  </w:num>
  <w:num w:numId="38">
    <w:abstractNumId w:val="28"/>
  </w:num>
  <w:num w:numId="39">
    <w:abstractNumId w:val="1"/>
  </w:num>
  <w:num w:numId="40">
    <w:abstractNumId w:val="32"/>
  </w:num>
  <w:num w:numId="41">
    <w:abstractNumId w:val="2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DB"/>
    <w:rsid w:val="0000481E"/>
    <w:rsid w:val="000158EC"/>
    <w:rsid w:val="00017014"/>
    <w:rsid w:val="00023288"/>
    <w:rsid w:val="000353EC"/>
    <w:rsid w:val="00035961"/>
    <w:rsid w:val="0004561C"/>
    <w:rsid w:val="00050A5C"/>
    <w:rsid w:val="000923B3"/>
    <w:rsid w:val="000A5337"/>
    <w:rsid w:val="000B4C6D"/>
    <w:rsid w:val="000B6052"/>
    <w:rsid w:val="000B7B14"/>
    <w:rsid w:val="000E49AC"/>
    <w:rsid w:val="000F7E6F"/>
    <w:rsid w:val="00100E99"/>
    <w:rsid w:val="0010495A"/>
    <w:rsid w:val="00111F7E"/>
    <w:rsid w:val="001133E3"/>
    <w:rsid w:val="00120105"/>
    <w:rsid w:val="00121CE5"/>
    <w:rsid w:val="00123FA4"/>
    <w:rsid w:val="001300E9"/>
    <w:rsid w:val="001309AA"/>
    <w:rsid w:val="001552CE"/>
    <w:rsid w:val="001567C2"/>
    <w:rsid w:val="00197502"/>
    <w:rsid w:val="001A5704"/>
    <w:rsid w:val="001B20CE"/>
    <w:rsid w:val="001B2FC7"/>
    <w:rsid w:val="001C52C5"/>
    <w:rsid w:val="001C5F1F"/>
    <w:rsid w:val="001F1836"/>
    <w:rsid w:val="001F34D4"/>
    <w:rsid w:val="00200D2B"/>
    <w:rsid w:val="00215D92"/>
    <w:rsid w:val="002272EF"/>
    <w:rsid w:val="00264FD8"/>
    <w:rsid w:val="00297B3B"/>
    <w:rsid w:val="002A5B82"/>
    <w:rsid w:val="002B07F9"/>
    <w:rsid w:val="002B1A62"/>
    <w:rsid w:val="002C4249"/>
    <w:rsid w:val="002C53BA"/>
    <w:rsid w:val="002F1420"/>
    <w:rsid w:val="002F2334"/>
    <w:rsid w:val="002F2CDE"/>
    <w:rsid w:val="002F7983"/>
    <w:rsid w:val="00313AF6"/>
    <w:rsid w:val="00313CB3"/>
    <w:rsid w:val="003768B6"/>
    <w:rsid w:val="00381D48"/>
    <w:rsid w:val="00385EDE"/>
    <w:rsid w:val="003C3AFF"/>
    <w:rsid w:val="003E1A78"/>
    <w:rsid w:val="003F4301"/>
    <w:rsid w:val="00403CE9"/>
    <w:rsid w:val="00413036"/>
    <w:rsid w:val="0042075B"/>
    <w:rsid w:val="00423C62"/>
    <w:rsid w:val="00437A6B"/>
    <w:rsid w:val="00453B63"/>
    <w:rsid w:val="00456B8A"/>
    <w:rsid w:val="00471A25"/>
    <w:rsid w:val="00487CD3"/>
    <w:rsid w:val="004A3482"/>
    <w:rsid w:val="004A3EA5"/>
    <w:rsid w:val="004A4CDF"/>
    <w:rsid w:val="004A6E08"/>
    <w:rsid w:val="004B10A3"/>
    <w:rsid w:val="004B6816"/>
    <w:rsid w:val="004D2134"/>
    <w:rsid w:val="00504D9D"/>
    <w:rsid w:val="00506A4D"/>
    <w:rsid w:val="005165CC"/>
    <w:rsid w:val="005646DB"/>
    <w:rsid w:val="005658F6"/>
    <w:rsid w:val="00581927"/>
    <w:rsid w:val="005B339F"/>
    <w:rsid w:val="005C13CB"/>
    <w:rsid w:val="005D439A"/>
    <w:rsid w:val="005E3FFC"/>
    <w:rsid w:val="0060079D"/>
    <w:rsid w:val="00603E22"/>
    <w:rsid w:val="00620B5D"/>
    <w:rsid w:val="00624E00"/>
    <w:rsid w:val="0065230C"/>
    <w:rsid w:val="00652EF1"/>
    <w:rsid w:val="006565A5"/>
    <w:rsid w:val="00657A64"/>
    <w:rsid w:val="00657AC4"/>
    <w:rsid w:val="00667D23"/>
    <w:rsid w:val="00677780"/>
    <w:rsid w:val="00680272"/>
    <w:rsid w:val="0068072A"/>
    <w:rsid w:val="00692204"/>
    <w:rsid w:val="006A6846"/>
    <w:rsid w:val="006A79E9"/>
    <w:rsid w:val="006B57FB"/>
    <w:rsid w:val="006C128A"/>
    <w:rsid w:val="006C47F9"/>
    <w:rsid w:val="006D0A05"/>
    <w:rsid w:val="006D5967"/>
    <w:rsid w:val="006D5B15"/>
    <w:rsid w:val="006F54E7"/>
    <w:rsid w:val="00711C9D"/>
    <w:rsid w:val="007142BE"/>
    <w:rsid w:val="00720713"/>
    <w:rsid w:val="0072087F"/>
    <w:rsid w:val="007368F9"/>
    <w:rsid w:val="00760C44"/>
    <w:rsid w:val="00763ADB"/>
    <w:rsid w:val="0078738C"/>
    <w:rsid w:val="007A211F"/>
    <w:rsid w:val="007B6648"/>
    <w:rsid w:val="007D2C74"/>
    <w:rsid w:val="007E0F13"/>
    <w:rsid w:val="007F7BDE"/>
    <w:rsid w:val="0080519A"/>
    <w:rsid w:val="008132E2"/>
    <w:rsid w:val="00825E87"/>
    <w:rsid w:val="008317A0"/>
    <w:rsid w:val="008535F6"/>
    <w:rsid w:val="00860AC6"/>
    <w:rsid w:val="008679AF"/>
    <w:rsid w:val="00872D05"/>
    <w:rsid w:val="00875B5E"/>
    <w:rsid w:val="008842A5"/>
    <w:rsid w:val="008869E3"/>
    <w:rsid w:val="008D413C"/>
    <w:rsid w:val="008F28C7"/>
    <w:rsid w:val="008F2AAC"/>
    <w:rsid w:val="008F4450"/>
    <w:rsid w:val="00906F29"/>
    <w:rsid w:val="00913FCE"/>
    <w:rsid w:val="00917D29"/>
    <w:rsid w:val="00933A43"/>
    <w:rsid w:val="009359E2"/>
    <w:rsid w:val="009362B2"/>
    <w:rsid w:val="009474F4"/>
    <w:rsid w:val="00975081"/>
    <w:rsid w:val="00981BD7"/>
    <w:rsid w:val="00985793"/>
    <w:rsid w:val="0098716C"/>
    <w:rsid w:val="00992AB8"/>
    <w:rsid w:val="0099724C"/>
    <w:rsid w:val="0099791B"/>
    <w:rsid w:val="009C3CFA"/>
    <w:rsid w:val="009D224C"/>
    <w:rsid w:val="009D3A43"/>
    <w:rsid w:val="00A0303F"/>
    <w:rsid w:val="00A030E2"/>
    <w:rsid w:val="00A2293A"/>
    <w:rsid w:val="00A36AE0"/>
    <w:rsid w:val="00A439A9"/>
    <w:rsid w:val="00A61F1B"/>
    <w:rsid w:val="00A75921"/>
    <w:rsid w:val="00A92C33"/>
    <w:rsid w:val="00A93197"/>
    <w:rsid w:val="00AA2D4A"/>
    <w:rsid w:val="00AC014B"/>
    <w:rsid w:val="00AD3ECC"/>
    <w:rsid w:val="00AE191E"/>
    <w:rsid w:val="00B07776"/>
    <w:rsid w:val="00B10AD2"/>
    <w:rsid w:val="00B1362A"/>
    <w:rsid w:val="00B16375"/>
    <w:rsid w:val="00B245DF"/>
    <w:rsid w:val="00B25EDB"/>
    <w:rsid w:val="00B5515E"/>
    <w:rsid w:val="00B55A27"/>
    <w:rsid w:val="00B604A0"/>
    <w:rsid w:val="00B6133C"/>
    <w:rsid w:val="00B61842"/>
    <w:rsid w:val="00B626F7"/>
    <w:rsid w:val="00B812EE"/>
    <w:rsid w:val="00B83364"/>
    <w:rsid w:val="00B97193"/>
    <w:rsid w:val="00B97BC4"/>
    <w:rsid w:val="00BB0AC6"/>
    <w:rsid w:val="00BB48C0"/>
    <w:rsid w:val="00BB7649"/>
    <w:rsid w:val="00BC1F99"/>
    <w:rsid w:val="00BC2FD5"/>
    <w:rsid w:val="00BD5AAF"/>
    <w:rsid w:val="00BE0ED9"/>
    <w:rsid w:val="00C10111"/>
    <w:rsid w:val="00C2248D"/>
    <w:rsid w:val="00C2751D"/>
    <w:rsid w:val="00C464BD"/>
    <w:rsid w:val="00C506B3"/>
    <w:rsid w:val="00C518D2"/>
    <w:rsid w:val="00C649DE"/>
    <w:rsid w:val="00C77BC2"/>
    <w:rsid w:val="00C9278B"/>
    <w:rsid w:val="00CA676D"/>
    <w:rsid w:val="00CB3703"/>
    <w:rsid w:val="00CC0411"/>
    <w:rsid w:val="00CC69BB"/>
    <w:rsid w:val="00CE2557"/>
    <w:rsid w:val="00CE2A39"/>
    <w:rsid w:val="00CE488A"/>
    <w:rsid w:val="00D0271A"/>
    <w:rsid w:val="00D0437F"/>
    <w:rsid w:val="00D04A6D"/>
    <w:rsid w:val="00D104E6"/>
    <w:rsid w:val="00D13E91"/>
    <w:rsid w:val="00D17DAE"/>
    <w:rsid w:val="00D5004D"/>
    <w:rsid w:val="00D54C4C"/>
    <w:rsid w:val="00D66771"/>
    <w:rsid w:val="00D8134E"/>
    <w:rsid w:val="00D8314A"/>
    <w:rsid w:val="00D86AD9"/>
    <w:rsid w:val="00DA19C8"/>
    <w:rsid w:val="00DA1E5E"/>
    <w:rsid w:val="00DB22EB"/>
    <w:rsid w:val="00DD7C42"/>
    <w:rsid w:val="00DF5A06"/>
    <w:rsid w:val="00E256BF"/>
    <w:rsid w:val="00E32592"/>
    <w:rsid w:val="00E33BD9"/>
    <w:rsid w:val="00E42763"/>
    <w:rsid w:val="00E4575A"/>
    <w:rsid w:val="00E47782"/>
    <w:rsid w:val="00E7356F"/>
    <w:rsid w:val="00E82037"/>
    <w:rsid w:val="00EA01C1"/>
    <w:rsid w:val="00EA76A8"/>
    <w:rsid w:val="00EB0C10"/>
    <w:rsid w:val="00EC4217"/>
    <w:rsid w:val="00ED5AFE"/>
    <w:rsid w:val="00EF00D5"/>
    <w:rsid w:val="00F131A6"/>
    <w:rsid w:val="00F16BE7"/>
    <w:rsid w:val="00F36ABF"/>
    <w:rsid w:val="00F37E37"/>
    <w:rsid w:val="00F5561A"/>
    <w:rsid w:val="00F647B0"/>
    <w:rsid w:val="00F713DA"/>
    <w:rsid w:val="00F81AC1"/>
    <w:rsid w:val="00FB58D3"/>
    <w:rsid w:val="00FD0EAD"/>
    <w:rsid w:val="00FD14B4"/>
    <w:rsid w:val="00FD1F78"/>
    <w:rsid w:val="00FD5659"/>
    <w:rsid w:val="00FD717D"/>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15B93"/>
  <w15:chartTrackingRefBased/>
  <w15:docId w15:val="{2962E884-8828-45F6-B268-DB5D5672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301"/>
    <w:rPr>
      <w:lang w:val="hr-HR"/>
    </w:rPr>
  </w:style>
  <w:style w:type="paragraph" w:styleId="Heading1">
    <w:name w:val="heading 1"/>
    <w:basedOn w:val="Normal"/>
    <w:next w:val="Normal"/>
    <w:link w:val="Heading1Char"/>
    <w:uiPriority w:val="9"/>
    <w:qFormat/>
    <w:rsid w:val="00C10111"/>
    <w:pPr>
      <w:keepNext/>
      <w:keepLines/>
      <w:spacing w:before="320" w:after="0" w:line="240" w:lineRule="auto"/>
      <w:outlineLvl w:val="0"/>
    </w:pPr>
    <w:rPr>
      <w:rFonts w:asciiTheme="majorHAnsi" w:eastAsiaTheme="majorEastAsia" w:hAnsiTheme="majorHAnsi" w:cstheme="majorBidi"/>
      <w:b/>
      <w:color w:val="000000" w:themeColor="text1"/>
      <w:sz w:val="24"/>
      <w:szCs w:val="32"/>
      <w:lang w:eastAsia="hr-HR"/>
    </w:rPr>
  </w:style>
  <w:style w:type="paragraph" w:styleId="Heading2">
    <w:name w:val="heading 2"/>
    <w:basedOn w:val="Normal"/>
    <w:next w:val="Normal"/>
    <w:link w:val="Heading2Char"/>
    <w:uiPriority w:val="9"/>
    <w:unhideWhenUsed/>
    <w:qFormat/>
    <w:rsid w:val="00C101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2CDE"/>
    <w:pPr>
      <w:keepNext/>
      <w:keepLines/>
      <w:spacing w:before="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semiHidden/>
    <w:unhideWhenUsed/>
    <w:qFormat/>
    <w:rsid w:val="00B10A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EA76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DB"/>
    <w:pPr>
      <w:ind w:left="720"/>
      <w:contextualSpacing/>
    </w:pPr>
  </w:style>
  <w:style w:type="character" w:customStyle="1" w:styleId="Heading1Char">
    <w:name w:val="Heading 1 Char"/>
    <w:basedOn w:val="DefaultParagraphFont"/>
    <w:link w:val="Heading1"/>
    <w:uiPriority w:val="9"/>
    <w:rsid w:val="00C10111"/>
    <w:rPr>
      <w:rFonts w:asciiTheme="majorHAnsi" w:eastAsiaTheme="majorEastAsia" w:hAnsiTheme="majorHAnsi" w:cstheme="majorBidi"/>
      <w:b/>
      <w:color w:val="000000" w:themeColor="text1"/>
      <w:sz w:val="24"/>
      <w:szCs w:val="32"/>
      <w:lang w:val="hr-HR" w:eastAsia="hr-HR"/>
    </w:rPr>
  </w:style>
  <w:style w:type="character" w:customStyle="1" w:styleId="Heading2Char">
    <w:name w:val="Heading 2 Char"/>
    <w:basedOn w:val="DefaultParagraphFont"/>
    <w:link w:val="Heading2"/>
    <w:uiPriority w:val="9"/>
    <w:rsid w:val="00C10111"/>
    <w:rPr>
      <w:rFonts w:asciiTheme="majorHAnsi" w:eastAsiaTheme="majorEastAsia" w:hAnsiTheme="majorHAnsi" w:cstheme="majorBidi"/>
      <w:color w:val="2E74B5" w:themeColor="accent1" w:themeShade="BF"/>
      <w:sz w:val="26"/>
      <w:szCs w:val="26"/>
      <w:lang w:val="hr-HR"/>
    </w:rPr>
  </w:style>
  <w:style w:type="character" w:customStyle="1" w:styleId="Heading8Char">
    <w:name w:val="Heading 8 Char"/>
    <w:basedOn w:val="DefaultParagraphFont"/>
    <w:link w:val="Heading8"/>
    <w:uiPriority w:val="9"/>
    <w:semiHidden/>
    <w:rsid w:val="00EA76A8"/>
    <w:rPr>
      <w:rFonts w:asciiTheme="majorHAnsi" w:eastAsiaTheme="majorEastAsia" w:hAnsiTheme="majorHAnsi" w:cstheme="majorBidi"/>
      <w:color w:val="272727" w:themeColor="text1" w:themeTint="D8"/>
      <w:sz w:val="21"/>
      <w:szCs w:val="21"/>
      <w:lang w:val="hr-HR"/>
    </w:rPr>
  </w:style>
  <w:style w:type="table" w:styleId="TableGrid">
    <w:name w:val="Table Grid"/>
    <w:basedOn w:val="TableNormal"/>
    <w:uiPriority w:val="59"/>
    <w:rsid w:val="0073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Header">
    <w:name w:val="CellHeader"/>
    <w:basedOn w:val="Normal"/>
    <w:qFormat/>
    <w:rsid w:val="003768B6"/>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paragraph" w:customStyle="1" w:styleId="CellColumn">
    <w:name w:val="CellColumn"/>
    <w:basedOn w:val="CellHeader"/>
    <w:qFormat/>
    <w:rsid w:val="003768B6"/>
  </w:style>
  <w:style w:type="table" w:customStyle="1" w:styleId="StilTablice">
    <w:name w:val="StilTablice"/>
    <w:basedOn w:val="TableNormal"/>
    <w:uiPriority w:val="99"/>
    <w:rsid w:val="003768B6"/>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customStyle="1" w:styleId="Heading3Char">
    <w:name w:val="Heading 3 Char"/>
    <w:basedOn w:val="DefaultParagraphFont"/>
    <w:link w:val="Heading3"/>
    <w:uiPriority w:val="9"/>
    <w:rsid w:val="002F2CDE"/>
    <w:rPr>
      <w:rFonts w:asciiTheme="majorHAnsi" w:eastAsiaTheme="majorEastAsia" w:hAnsiTheme="majorHAnsi" w:cstheme="majorBidi"/>
      <w:color w:val="2E74B5" w:themeColor="accent1" w:themeShade="BF"/>
      <w:sz w:val="24"/>
      <w:szCs w:val="24"/>
      <w:lang w:val="hr-HR"/>
    </w:rPr>
  </w:style>
  <w:style w:type="character" w:customStyle="1" w:styleId="Heading4Char">
    <w:name w:val="Heading 4 Char"/>
    <w:basedOn w:val="DefaultParagraphFont"/>
    <w:link w:val="Heading4"/>
    <w:uiPriority w:val="9"/>
    <w:semiHidden/>
    <w:rsid w:val="00B10AD2"/>
    <w:rPr>
      <w:rFonts w:asciiTheme="majorHAnsi" w:eastAsiaTheme="majorEastAsia" w:hAnsiTheme="majorHAnsi" w:cstheme="majorBidi"/>
      <w:i/>
      <w:iCs/>
      <w:color w:val="2E74B5" w:themeColor="accent1" w:themeShade="BF"/>
      <w:lang w:val="hr-HR"/>
    </w:rPr>
  </w:style>
  <w:style w:type="table" w:customStyle="1" w:styleId="StilTablice1">
    <w:name w:val="StilTablice1"/>
    <w:basedOn w:val="TableNormal"/>
    <w:uiPriority w:val="99"/>
    <w:rsid w:val="00B10AD2"/>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FootnoteText">
    <w:name w:val="footnote text"/>
    <w:basedOn w:val="Normal"/>
    <w:link w:val="FootnoteTextChar"/>
    <w:uiPriority w:val="99"/>
    <w:unhideWhenUsed/>
    <w:rsid w:val="00B10A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sl-SI"/>
    </w:rPr>
  </w:style>
  <w:style w:type="character" w:customStyle="1" w:styleId="FootnoteTextChar">
    <w:name w:val="Footnote Text Char"/>
    <w:basedOn w:val="DefaultParagraphFont"/>
    <w:link w:val="FootnoteText"/>
    <w:uiPriority w:val="99"/>
    <w:rsid w:val="00B10AD2"/>
    <w:rPr>
      <w:rFonts w:ascii="Times New Roman" w:eastAsia="Times New Roman" w:hAnsi="Times New Roman" w:cs="Times New Roman"/>
      <w:sz w:val="20"/>
      <w:szCs w:val="20"/>
      <w:lang w:val="sl-SI"/>
    </w:rPr>
  </w:style>
  <w:style w:type="table" w:customStyle="1" w:styleId="StilTablice2">
    <w:name w:val="StilTablice2"/>
    <w:basedOn w:val="TableNormal"/>
    <w:uiPriority w:val="99"/>
    <w:rsid w:val="00B10AD2"/>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numbering" w:customStyle="1" w:styleId="Style1">
    <w:name w:val="Style1"/>
    <w:uiPriority w:val="99"/>
    <w:rsid w:val="006D5967"/>
    <w:pPr>
      <w:numPr>
        <w:numId w:val="19"/>
      </w:numPr>
    </w:pPr>
  </w:style>
  <w:style w:type="numbering" w:customStyle="1" w:styleId="Style2">
    <w:name w:val="Style2"/>
    <w:uiPriority w:val="99"/>
    <w:rsid w:val="006D5967"/>
    <w:pPr>
      <w:numPr>
        <w:numId w:val="20"/>
      </w:numPr>
    </w:pPr>
  </w:style>
  <w:style w:type="numbering" w:customStyle="1" w:styleId="Style3">
    <w:name w:val="Style3"/>
    <w:uiPriority w:val="99"/>
    <w:rsid w:val="006D5967"/>
    <w:pPr>
      <w:numPr>
        <w:numId w:val="22"/>
      </w:numPr>
    </w:pPr>
  </w:style>
  <w:style w:type="paragraph" w:styleId="Header">
    <w:name w:val="header"/>
    <w:basedOn w:val="Normal"/>
    <w:link w:val="HeaderChar"/>
    <w:uiPriority w:val="99"/>
    <w:unhideWhenUsed/>
    <w:rsid w:val="004A3E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3EA5"/>
    <w:rPr>
      <w:lang w:val="hr-HR"/>
    </w:rPr>
  </w:style>
  <w:style w:type="paragraph" w:styleId="Footer">
    <w:name w:val="footer"/>
    <w:basedOn w:val="Normal"/>
    <w:link w:val="FooterChar"/>
    <w:uiPriority w:val="99"/>
    <w:unhideWhenUsed/>
    <w:rsid w:val="004A3E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3EA5"/>
    <w:rPr>
      <w:lang w:val="hr-HR"/>
    </w:rPr>
  </w:style>
  <w:style w:type="paragraph" w:styleId="TOCHeading">
    <w:name w:val="TOC Heading"/>
    <w:basedOn w:val="Heading1"/>
    <w:next w:val="Normal"/>
    <w:uiPriority w:val="39"/>
    <w:unhideWhenUsed/>
    <w:qFormat/>
    <w:rsid w:val="001300E9"/>
    <w:pPr>
      <w:spacing w:before="240" w:line="259" w:lineRule="auto"/>
      <w:outlineLvl w:val="9"/>
    </w:pPr>
    <w:rPr>
      <w:rFonts w:ascii="Calibri" w:hAnsi="Calibri"/>
      <w:color w:val="2E74B5" w:themeColor="accent1" w:themeShade="BF"/>
      <w:lang w:val="en-US" w:eastAsia="en-US"/>
    </w:rPr>
  </w:style>
  <w:style w:type="paragraph" w:styleId="TOC2">
    <w:name w:val="toc 2"/>
    <w:basedOn w:val="Normal"/>
    <w:next w:val="Normal"/>
    <w:autoRedefine/>
    <w:uiPriority w:val="39"/>
    <w:unhideWhenUsed/>
    <w:rsid w:val="001300E9"/>
    <w:pPr>
      <w:tabs>
        <w:tab w:val="left" w:pos="880"/>
        <w:tab w:val="right" w:leader="dot" w:pos="10528"/>
      </w:tabs>
      <w:spacing w:after="100"/>
      <w:ind w:left="221"/>
    </w:pPr>
    <w:rPr>
      <w:rFonts w:ascii="Calibri" w:hAnsi="Calibri" w:cstheme="minorHAnsi"/>
      <w:i/>
      <w:noProof/>
      <w:color w:val="2E74B5" w:themeColor="accent1" w:themeShade="BF"/>
      <w:sz w:val="20"/>
    </w:rPr>
  </w:style>
  <w:style w:type="paragraph" w:styleId="TOC3">
    <w:name w:val="toc 3"/>
    <w:basedOn w:val="Normal"/>
    <w:next w:val="Normal"/>
    <w:autoRedefine/>
    <w:uiPriority w:val="39"/>
    <w:unhideWhenUsed/>
    <w:rsid w:val="001300E9"/>
    <w:pPr>
      <w:spacing w:after="100"/>
      <w:ind w:left="440"/>
    </w:pPr>
    <w:rPr>
      <w:rFonts w:ascii="Calibri" w:hAnsi="Calibri"/>
      <w:i/>
      <w:color w:val="2E74B5" w:themeColor="accent1" w:themeShade="BF"/>
      <w:sz w:val="20"/>
    </w:rPr>
  </w:style>
  <w:style w:type="character" w:styleId="Hyperlink">
    <w:name w:val="Hyperlink"/>
    <w:basedOn w:val="DefaultParagraphFont"/>
    <w:uiPriority w:val="99"/>
    <w:unhideWhenUsed/>
    <w:rsid w:val="00EA01C1"/>
    <w:rPr>
      <w:color w:val="0563C1" w:themeColor="hyperlink"/>
      <w:u w:val="single"/>
    </w:rPr>
  </w:style>
  <w:style w:type="paragraph" w:styleId="TOC1">
    <w:name w:val="toc 1"/>
    <w:basedOn w:val="Normal"/>
    <w:next w:val="Normal"/>
    <w:autoRedefine/>
    <w:uiPriority w:val="39"/>
    <w:unhideWhenUsed/>
    <w:rsid w:val="001300E9"/>
    <w:pPr>
      <w:spacing w:after="100"/>
    </w:pPr>
    <w:rPr>
      <w:rFonts w:ascii="Calibri" w:eastAsiaTheme="minorEastAsia" w:hAnsi="Calibri" w:cs="Times New Roman"/>
      <w:b/>
      <w:sz w:val="20"/>
      <w:lang w:val="en-US"/>
    </w:rPr>
  </w:style>
  <w:style w:type="paragraph" w:styleId="BalloonText">
    <w:name w:val="Balloon Text"/>
    <w:basedOn w:val="Normal"/>
    <w:link w:val="BalloonTextChar"/>
    <w:uiPriority w:val="99"/>
    <w:semiHidden/>
    <w:unhideWhenUsed/>
    <w:rsid w:val="00EA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C1"/>
    <w:rPr>
      <w:rFonts w:ascii="Segoe UI" w:hAnsi="Segoe UI" w:cs="Segoe UI"/>
      <w:sz w:val="18"/>
      <w:szCs w:val="18"/>
      <w:lang w:val="hr-HR"/>
    </w:rPr>
  </w:style>
  <w:style w:type="numbering" w:customStyle="1" w:styleId="Style4">
    <w:name w:val="Style4"/>
    <w:uiPriority w:val="99"/>
    <w:rsid w:val="002F2CDE"/>
    <w:pPr>
      <w:numPr>
        <w:numId w:val="26"/>
      </w:numPr>
    </w:pPr>
  </w:style>
  <w:style w:type="numbering" w:customStyle="1" w:styleId="Style5">
    <w:name w:val="Style5"/>
    <w:uiPriority w:val="99"/>
    <w:rsid w:val="002F2CDE"/>
    <w:pPr>
      <w:numPr>
        <w:numId w:val="27"/>
      </w:numPr>
    </w:pPr>
  </w:style>
  <w:style w:type="paragraph" w:styleId="NoSpacing">
    <w:name w:val="No Spacing"/>
    <w:uiPriority w:val="1"/>
    <w:qFormat/>
    <w:rsid w:val="002F7983"/>
    <w:pPr>
      <w:spacing w:after="0" w:line="240" w:lineRule="auto"/>
    </w:pPr>
    <w:rPr>
      <w:lang w:val="hr-HR"/>
    </w:rPr>
  </w:style>
  <w:style w:type="table" w:customStyle="1" w:styleId="TableGrid1">
    <w:name w:val="Table Grid1"/>
    <w:basedOn w:val="TableNormal"/>
    <w:next w:val="TableGrid"/>
    <w:uiPriority w:val="59"/>
    <w:rsid w:val="002F798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w:basedOn w:val="DefaultParagraphFont"/>
    <w:uiPriority w:val="99"/>
    <w:unhideWhenUsed/>
    <w:rsid w:val="003C3AFF"/>
    <w:rPr>
      <w:vertAlign w:val="superscript"/>
    </w:rPr>
  </w:style>
  <w:style w:type="table" w:customStyle="1" w:styleId="TableGrid2">
    <w:name w:val="Table Grid2"/>
    <w:basedOn w:val="TableNormal"/>
    <w:next w:val="TableGrid"/>
    <w:uiPriority w:val="59"/>
    <w:rsid w:val="00DA1E5E"/>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3">
    <w:name w:val="StilTablice3"/>
    <w:basedOn w:val="TableNormal"/>
    <w:uiPriority w:val="99"/>
    <w:rsid w:val="00B626F7"/>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styleId="CommentReference">
    <w:name w:val="annotation reference"/>
    <w:basedOn w:val="DefaultParagraphFont"/>
    <w:uiPriority w:val="99"/>
    <w:semiHidden/>
    <w:unhideWhenUsed/>
    <w:rsid w:val="00B626F7"/>
    <w:rPr>
      <w:sz w:val="16"/>
      <w:szCs w:val="16"/>
    </w:rPr>
  </w:style>
  <w:style w:type="paragraph" w:styleId="CommentText">
    <w:name w:val="annotation text"/>
    <w:basedOn w:val="Normal"/>
    <w:link w:val="CommentTextChar"/>
    <w:uiPriority w:val="99"/>
    <w:semiHidden/>
    <w:unhideWhenUsed/>
    <w:rsid w:val="00B626F7"/>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val="sl-SI"/>
    </w:rPr>
  </w:style>
  <w:style w:type="character" w:customStyle="1" w:styleId="CommentTextChar">
    <w:name w:val="Comment Text Char"/>
    <w:basedOn w:val="DefaultParagraphFont"/>
    <w:link w:val="CommentText"/>
    <w:uiPriority w:val="99"/>
    <w:semiHidden/>
    <w:rsid w:val="00B626F7"/>
    <w:rPr>
      <w:rFonts w:ascii="Times New Roman" w:eastAsia="Times New Roman" w:hAnsi="Times New Roman" w:cs="Times New Roman"/>
      <w:sz w:val="20"/>
      <w:szCs w:val="20"/>
      <w:lang w:val="sl-SI"/>
    </w:rPr>
  </w:style>
  <w:style w:type="table" w:customStyle="1" w:styleId="TableGrid3">
    <w:name w:val="Table Grid3"/>
    <w:basedOn w:val="TableNormal"/>
    <w:next w:val="TableGrid"/>
    <w:uiPriority w:val="59"/>
    <w:rsid w:val="00620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B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2204"/>
    <w:pPr>
      <w:overflowPunct/>
      <w:autoSpaceDE/>
      <w:autoSpaceDN/>
      <w:adjustRightInd/>
      <w:spacing w:after="160"/>
      <w:jc w:val="left"/>
      <w:textAlignment w:val="auto"/>
    </w:pPr>
    <w:rPr>
      <w:rFonts w:asciiTheme="minorHAnsi" w:eastAsiaTheme="minorHAnsi" w:hAnsiTheme="minorHAnsi" w:cstheme="minorBidi"/>
      <w:b/>
      <w:bCs/>
      <w:lang w:val="hr-HR"/>
    </w:rPr>
  </w:style>
  <w:style w:type="character" w:customStyle="1" w:styleId="CommentSubjectChar">
    <w:name w:val="Comment Subject Char"/>
    <w:basedOn w:val="CommentTextChar"/>
    <w:link w:val="CommentSubject"/>
    <w:uiPriority w:val="99"/>
    <w:semiHidden/>
    <w:rsid w:val="00692204"/>
    <w:rPr>
      <w:rFonts w:ascii="Times New Roman" w:eastAsia="Times New Roman" w:hAnsi="Times New Roman" w:cs="Times New Roman"/>
      <w:b/>
      <w:bCs/>
      <w:sz w:val="20"/>
      <w:szCs w:val="20"/>
      <w:lang w:val="hr-HR"/>
    </w:rPr>
  </w:style>
  <w:style w:type="table" w:customStyle="1" w:styleId="TableGrid6">
    <w:name w:val="Table Grid6"/>
    <w:basedOn w:val="TableNormal"/>
    <w:next w:val="TableGrid"/>
    <w:uiPriority w:val="59"/>
    <w:rsid w:val="00C77BC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oga-ime">
    <w:name w:val="uloga-ime"/>
    <w:basedOn w:val="Normal"/>
    <w:rsid w:val="00381D48"/>
    <w:pPr>
      <w:spacing w:after="600" w:line="240" w:lineRule="auto"/>
    </w:pPr>
    <w:rPr>
      <w:rFonts w:ascii="Times New Roman" w:eastAsia="Calibri" w:hAnsi="Times New Roman" w:cs="Times New Roman"/>
      <w:b/>
      <w:bCs/>
      <w:i/>
      <w:iCs/>
      <w:lang w:eastAsia="hr-HR"/>
    </w:rPr>
  </w:style>
  <w:style w:type="paragraph" w:customStyle="1" w:styleId="Uloga-ime0">
    <w:name w:val="Uloga - ime"/>
    <w:basedOn w:val="Normal"/>
    <w:rsid w:val="00F16BE7"/>
    <w:pPr>
      <w:tabs>
        <w:tab w:val="center" w:pos="7655"/>
      </w:tabs>
      <w:spacing w:after="600" w:line="240" w:lineRule="auto"/>
    </w:pPr>
    <w:rPr>
      <w:rFonts w:ascii="Times New Roman" w:eastAsia="Times New Roman" w:hAnsi="Times New Roman" w:cs="Times New Roman"/>
      <w:b/>
      <w:i/>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0315">
      <w:bodyDiv w:val="1"/>
      <w:marLeft w:val="0"/>
      <w:marRight w:val="0"/>
      <w:marTop w:val="0"/>
      <w:marBottom w:val="0"/>
      <w:divBdr>
        <w:top w:val="none" w:sz="0" w:space="0" w:color="auto"/>
        <w:left w:val="none" w:sz="0" w:space="0" w:color="auto"/>
        <w:bottom w:val="none" w:sz="0" w:space="0" w:color="auto"/>
        <w:right w:val="none" w:sz="0" w:space="0" w:color="auto"/>
      </w:divBdr>
    </w:div>
    <w:div w:id="979044285">
      <w:bodyDiv w:val="1"/>
      <w:marLeft w:val="0"/>
      <w:marRight w:val="0"/>
      <w:marTop w:val="0"/>
      <w:marBottom w:val="0"/>
      <w:divBdr>
        <w:top w:val="none" w:sz="0" w:space="0" w:color="auto"/>
        <w:left w:val="none" w:sz="0" w:space="0" w:color="auto"/>
        <w:bottom w:val="none" w:sz="0" w:space="0" w:color="auto"/>
        <w:right w:val="none" w:sz="0" w:space="0" w:color="auto"/>
      </w:divBdr>
    </w:div>
    <w:div w:id="1073089965">
      <w:bodyDiv w:val="1"/>
      <w:marLeft w:val="0"/>
      <w:marRight w:val="0"/>
      <w:marTop w:val="0"/>
      <w:marBottom w:val="0"/>
      <w:divBdr>
        <w:top w:val="none" w:sz="0" w:space="0" w:color="auto"/>
        <w:left w:val="none" w:sz="0" w:space="0" w:color="auto"/>
        <w:bottom w:val="none" w:sz="0" w:space="0" w:color="auto"/>
        <w:right w:val="none" w:sz="0" w:space="0" w:color="auto"/>
      </w:divBdr>
    </w:div>
    <w:div w:id="1076241766">
      <w:bodyDiv w:val="1"/>
      <w:marLeft w:val="0"/>
      <w:marRight w:val="0"/>
      <w:marTop w:val="0"/>
      <w:marBottom w:val="0"/>
      <w:divBdr>
        <w:top w:val="none" w:sz="0" w:space="0" w:color="auto"/>
        <w:left w:val="none" w:sz="0" w:space="0" w:color="auto"/>
        <w:bottom w:val="none" w:sz="0" w:space="0" w:color="auto"/>
        <w:right w:val="none" w:sz="0" w:space="0" w:color="auto"/>
      </w:divBdr>
    </w:div>
    <w:div w:id="21212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www.hakom.hr/UserDocsImages/2024/odluke_rjesenja_presude/Odluka%20o%20cjenovnom%20ograni%C4%8Denju%20%20HP%20d.d.%2020241024.pdf?vel=828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hzt.local\hakom\Mape_Odjela\Gospodarstvo\SamoZaOdjel\GORDANA%20I%20&#381;ELJKA\02%20IZVJE&#352;TAJ%20O%20IZVR&#352;ENJU%20FP\04%20Godi&#353;nji%20izvje&#353;taj%20o%20izvr&#353;enju%202024\Godi&#353;nji%20izvje&#353;taj%20o%20izvr&#353;enju%20financijskog%20plana%20%20HAKOM-a%20za%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Rashodi</a:t>
            </a:r>
            <a:r>
              <a:rPr lang="hr-HR" baseline="0"/>
              <a:t> prema izvorima financiranja</a:t>
            </a:r>
            <a:endParaRPr lang="hr-H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3.0555555555555555E-2"/>
          <c:y val="8.4017235698015114E-2"/>
          <c:w val="0.93888888888888888"/>
          <c:h val="0.61564611284496717"/>
        </c:manualLayout>
      </c:layout>
      <c:barChart>
        <c:barDir val="col"/>
        <c:grouping val="clustered"/>
        <c:varyColors val="0"/>
        <c:ser>
          <c:idx val="0"/>
          <c:order val="0"/>
          <c:tx>
            <c:strRef>
              <c:f>'Posebni dio (2)'!$C$93</c:f>
              <c:strCache>
                <c:ptCount val="1"/>
                <c:pt idx="0">
                  <c:v>TEKUĆI PLAN 2024.</c:v>
                </c:pt>
              </c:strCache>
            </c:strRef>
          </c:tx>
          <c:spPr>
            <a:solidFill>
              <a:schemeClr val="accent1"/>
            </a:solidFill>
            <a:ln>
              <a:noFill/>
            </a:ln>
            <a:effectLst/>
          </c:spPr>
          <c:invertIfNegative val="0"/>
          <c:dLbls>
            <c:dLbl>
              <c:idx val="0"/>
              <c:layout>
                <c:manualLayout>
                  <c:x val="9.7222222222222224E-2"/>
                  <c:y val="-1.478742781425906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205-44E9-9A25-C095303105BF}"/>
                </c:ext>
              </c:extLst>
            </c:dLbl>
            <c:dLbl>
              <c:idx val="1"/>
              <c:layout>
                <c:manualLayout>
                  <c:x val="-1.1111111111111162E-2"/>
                  <c:y val="-4.436228344277711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205-44E9-9A25-C095303105BF}"/>
                </c:ext>
              </c:extLst>
            </c:dLbl>
            <c:dLbl>
              <c:idx val="2"/>
              <c:layout>
                <c:manualLayout>
                  <c:x val="-1.3903373089682012E-2"/>
                  <c:y val="-5.482454246976715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205-44E9-9A25-C09530310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'Posebni dio (2)'!$A$94:$B$96</c:f>
              <c:multiLvlStrCache>
                <c:ptCount val="3"/>
                <c:lvl>
                  <c:pt idx="0">
                    <c:v>Ostali prihodi za posebne namjene</c:v>
                  </c:pt>
                  <c:pt idx="1">
                    <c:v>Pomoći EU</c:v>
                  </c:pt>
                  <c:pt idx="2">
                    <c:v>Prihodi od prodaje ili zamjene nefinancijske imovine i nakande s naslova osiguranja</c:v>
                  </c:pt>
                </c:lvl>
                <c:lvl>
                  <c:pt idx="0">
                    <c:v>43</c:v>
                  </c:pt>
                  <c:pt idx="1">
                    <c:v>51</c:v>
                  </c:pt>
                  <c:pt idx="2">
                    <c:v>71</c:v>
                  </c:pt>
                </c:lvl>
              </c:multiLvlStrCache>
            </c:multiLvlStrRef>
          </c:cat>
          <c:val>
            <c:numRef>
              <c:f>'Posebni dio (2)'!$C$94:$C$96</c:f>
              <c:numCache>
                <c:formatCode>_-* #,##0_-;\-* #,##0_-;_-* "-"??_-;_-@_-</c:formatCode>
                <c:ptCount val="3"/>
                <c:pt idx="0">
                  <c:v>16928659</c:v>
                </c:pt>
                <c:pt idx="1">
                  <c:v>50000</c:v>
                </c:pt>
                <c:pt idx="2">
                  <c:v>93300</c:v>
                </c:pt>
              </c:numCache>
            </c:numRef>
          </c:val>
          <c:extLst>
            <c:ext xmlns:c16="http://schemas.microsoft.com/office/drawing/2014/chart" uri="{C3380CC4-5D6E-409C-BE32-E72D297353CC}">
              <c16:uniqueId val="{00000003-5205-44E9-9A25-C095303105BF}"/>
            </c:ext>
          </c:extLst>
        </c:ser>
        <c:ser>
          <c:idx val="1"/>
          <c:order val="1"/>
          <c:tx>
            <c:strRef>
              <c:f>'Posebni dio (2)'!$D$93</c:f>
              <c:strCache>
                <c:ptCount val="1"/>
                <c:pt idx="0">
                  <c:v>OSTVARENJE/IZVRŠENJE 
2024.</c:v>
                </c:pt>
              </c:strCache>
            </c:strRef>
          </c:tx>
          <c:spPr>
            <a:solidFill>
              <a:schemeClr val="accent2"/>
            </a:solidFill>
            <a:ln>
              <a:noFill/>
            </a:ln>
            <a:effectLst/>
          </c:spPr>
          <c:invertIfNegative val="0"/>
          <c:dLbls>
            <c:dLbl>
              <c:idx val="0"/>
              <c:layout>
                <c:manualLayout>
                  <c:x val="0.11388888888888886"/>
                  <c:y val="-4.929142604753013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205-44E9-9A25-C095303105BF}"/>
                </c:ext>
              </c:extLst>
            </c:dLbl>
            <c:dLbl>
              <c:idx val="1"/>
              <c:layout>
                <c:manualLayout>
                  <c:x val="3.3333333333333284E-2"/>
                  <c:y val="-5.175599734990663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205-44E9-9A25-C095303105BF}"/>
                </c:ext>
              </c:extLst>
            </c:dLbl>
            <c:dLbl>
              <c:idx val="2"/>
              <c:layout>
                <c:manualLayout>
                  <c:x val="3.3368095415236727E-2"/>
                  <c:y val="-4.824559737339502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205-44E9-9A25-C09530310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'Posebni dio (2)'!$A$94:$B$96</c:f>
              <c:multiLvlStrCache>
                <c:ptCount val="3"/>
                <c:lvl>
                  <c:pt idx="0">
                    <c:v>Ostali prihodi za posebne namjene</c:v>
                  </c:pt>
                  <c:pt idx="1">
                    <c:v>Pomoći EU</c:v>
                  </c:pt>
                  <c:pt idx="2">
                    <c:v>Prihodi od prodaje ili zamjene nefinancijske imovine i nakande s naslova osiguranja</c:v>
                  </c:pt>
                </c:lvl>
                <c:lvl>
                  <c:pt idx="0">
                    <c:v>43</c:v>
                  </c:pt>
                  <c:pt idx="1">
                    <c:v>51</c:v>
                  </c:pt>
                  <c:pt idx="2">
                    <c:v>71</c:v>
                  </c:pt>
                </c:lvl>
              </c:multiLvlStrCache>
            </c:multiLvlStrRef>
          </c:cat>
          <c:val>
            <c:numRef>
              <c:f>'Posebni dio (2)'!$D$94:$D$96</c:f>
              <c:numCache>
                <c:formatCode>#,##0.00_ ;\-#,##0.00\ </c:formatCode>
                <c:ptCount val="3"/>
                <c:pt idx="0">
                  <c:v>13646573.92</c:v>
                </c:pt>
                <c:pt idx="1">
                  <c:v>59253.48</c:v>
                </c:pt>
                <c:pt idx="2">
                  <c:v>85901.45</c:v>
                </c:pt>
              </c:numCache>
            </c:numRef>
          </c:val>
          <c:extLst>
            <c:ext xmlns:c16="http://schemas.microsoft.com/office/drawing/2014/chart" uri="{C3380CC4-5D6E-409C-BE32-E72D297353CC}">
              <c16:uniqueId val="{00000007-5205-44E9-9A25-C095303105BF}"/>
            </c:ext>
          </c:extLst>
        </c:ser>
        <c:ser>
          <c:idx val="2"/>
          <c:order val="2"/>
          <c:tx>
            <c:strRef>
              <c:f>'Posebni dio (2)'!$E$93</c:f>
              <c:strCache>
                <c:ptCount val="1"/>
                <c:pt idx="0">
                  <c:v>Indeks</c:v>
                </c:pt>
              </c:strCache>
            </c:strRef>
          </c:tx>
          <c:spPr>
            <a:solidFill>
              <a:schemeClr val="accent3"/>
            </a:solidFill>
            <a:ln>
              <a:noFill/>
            </a:ln>
            <a:effectLst/>
          </c:spPr>
          <c:invertIfNegative val="0"/>
          <c:dLbls>
            <c:dLbl>
              <c:idx val="0"/>
              <c:layout>
                <c:manualLayout>
                  <c:x val="8.3420238538092061E-3"/>
                  <c:y val="-5.482454246976715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205-44E9-9A25-C095303105BF}"/>
                </c:ext>
              </c:extLst>
            </c:dLbl>
            <c:dLbl>
              <c:idx val="1"/>
              <c:layout>
                <c:manualLayout>
                  <c:x val="4.1666666666666616E-2"/>
                  <c:y val="-3.203942693089458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205-44E9-9A25-C095303105BF}"/>
                </c:ext>
              </c:extLst>
            </c:dLbl>
            <c:dLbl>
              <c:idx val="2"/>
              <c:layout>
                <c:manualLayout>
                  <c:x val="4.1710119269046032E-2"/>
                  <c:y val="-2.412279868669751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205-44E9-9A25-C09530310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'Posebni dio (2)'!$A$94:$B$96</c:f>
              <c:multiLvlStrCache>
                <c:ptCount val="3"/>
                <c:lvl>
                  <c:pt idx="0">
                    <c:v>Ostali prihodi za posebne namjene</c:v>
                  </c:pt>
                  <c:pt idx="1">
                    <c:v>Pomoći EU</c:v>
                  </c:pt>
                  <c:pt idx="2">
                    <c:v>Prihodi od prodaje ili zamjene nefinancijske imovine i nakande s naslova osiguranja</c:v>
                  </c:pt>
                </c:lvl>
                <c:lvl>
                  <c:pt idx="0">
                    <c:v>43</c:v>
                  </c:pt>
                  <c:pt idx="1">
                    <c:v>51</c:v>
                  </c:pt>
                  <c:pt idx="2">
                    <c:v>71</c:v>
                  </c:pt>
                </c:lvl>
              </c:multiLvlStrCache>
            </c:multiLvlStrRef>
          </c:cat>
          <c:val>
            <c:numRef>
              <c:f>'Posebni dio (2)'!$E$94:$E$96</c:f>
              <c:numCache>
                <c:formatCode>_(* #,##0.00_);_(* \(#,##0.00\);_(* "-"??_);_(@_)</c:formatCode>
                <c:ptCount val="3"/>
                <c:pt idx="0">
                  <c:v>80.612255938287845</c:v>
                </c:pt>
                <c:pt idx="1">
                  <c:v>118.50696000000001</c:v>
                </c:pt>
                <c:pt idx="2">
                  <c:v>92.070150053590567</c:v>
                </c:pt>
              </c:numCache>
            </c:numRef>
          </c:val>
          <c:extLst>
            <c:ext xmlns:c16="http://schemas.microsoft.com/office/drawing/2014/chart" uri="{C3380CC4-5D6E-409C-BE32-E72D297353CC}">
              <c16:uniqueId val="{0000000B-5205-44E9-9A25-C095303105BF}"/>
            </c:ext>
          </c:extLst>
        </c:ser>
        <c:dLbls>
          <c:dLblPos val="outEnd"/>
          <c:showLegendKey val="0"/>
          <c:showVal val="1"/>
          <c:showCatName val="0"/>
          <c:showSerName val="0"/>
          <c:showPercent val="0"/>
          <c:showBubbleSize val="0"/>
        </c:dLbls>
        <c:gapWidth val="219"/>
        <c:overlap val="-27"/>
        <c:axId val="433965904"/>
        <c:axId val="433967568"/>
      </c:barChart>
      <c:catAx>
        <c:axId val="43396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3967568"/>
        <c:crosses val="autoZero"/>
        <c:auto val="1"/>
        <c:lblAlgn val="ctr"/>
        <c:lblOffset val="100"/>
        <c:noMultiLvlLbl val="0"/>
      </c:catAx>
      <c:valAx>
        <c:axId val="433967568"/>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crossAx val="433965904"/>
        <c:crosses val="autoZero"/>
        <c:crossBetween val="between"/>
      </c:valAx>
      <c:spPr>
        <a:noFill/>
        <a:ln>
          <a:noFill/>
        </a:ln>
        <a:effectLst/>
      </c:spPr>
    </c:plotArea>
    <c:legend>
      <c:legendPos val="b"/>
      <c:layout>
        <c:manualLayout>
          <c:xMode val="edge"/>
          <c:yMode val="edge"/>
          <c:x val="0"/>
          <c:y val="0.88196405513052389"/>
          <c:w val="1"/>
          <c:h val="0.115721054109319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753F-028C-4E2C-B896-B80B5BF4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6013</Words>
  <Characters>34277</Characters>
  <Application>Microsoft Office Word</Application>
  <DocSecurity>0</DocSecurity>
  <Lines>285</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Višić</dc:creator>
  <cp:keywords/>
  <dc:description/>
  <cp:lastModifiedBy>Željka Višić</cp:lastModifiedBy>
  <cp:revision>20</cp:revision>
  <cp:lastPrinted>2025-03-26T07:51:00Z</cp:lastPrinted>
  <dcterms:created xsi:type="dcterms:W3CDTF">2025-03-07T15:28:00Z</dcterms:created>
  <dcterms:modified xsi:type="dcterms:W3CDTF">2025-03-28T08:43:00Z</dcterms:modified>
</cp:coreProperties>
</file>